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厦门市中医院</w:t>
      </w:r>
    </w:p>
    <w:p>
      <w:pPr>
        <w:bidi w:val="0"/>
        <w:jc w:val="center"/>
        <w:rPr>
          <w:rFonts w:hint="default" w:ascii="Times New Roman" w:hAnsi="Times New Roman" w:eastAsia="宋体" w:cs="Times New Roman"/>
          <w:lang w:val="en-US"/>
        </w:rPr>
      </w:pPr>
      <w:r>
        <w:rPr>
          <w:rFonts w:hint="eastAsia" w:ascii="黑体" w:hAnsi="黑体" w:eastAsia="黑体" w:cs="黑体"/>
          <w:b w:val="0"/>
          <w:bCs w:val="0"/>
          <w:sz w:val="36"/>
          <w:szCs w:val="36"/>
          <w:lang w:val="en-US" w:eastAsia="zh-CN"/>
        </w:rPr>
        <w:t>机房重要设施维保服务</w:t>
      </w:r>
      <w:bookmarkStart w:id="0" w:name="_GoBack"/>
      <w:bookmarkEnd w:id="0"/>
      <w:r>
        <w:rPr>
          <w:rFonts w:hint="eastAsia" w:ascii="黑体" w:hAnsi="黑体" w:eastAsia="黑体" w:cs="黑体"/>
          <w:b w:val="0"/>
          <w:bCs w:val="0"/>
          <w:sz w:val="36"/>
          <w:szCs w:val="36"/>
          <w:lang w:val="en-US" w:eastAsia="zh-CN"/>
        </w:rPr>
        <w:t>项目</w:t>
      </w:r>
    </w:p>
    <w:p/>
    <w:p>
      <w:pPr>
        <w:spacing w:line="360" w:lineRule="auto"/>
        <w:outlineLvl w:val="0"/>
      </w:pPr>
      <w:r>
        <w:rPr>
          <w:rFonts w:hint="eastAsia"/>
          <w:b/>
        </w:rPr>
        <w:t>一、项目需求：</w:t>
      </w:r>
    </w:p>
    <w:tbl>
      <w:tblPr>
        <w:tblStyle w:val="4"/>
        <w:tblW w:w="4945"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5"/>
        <w:gridCol w:w="4536"/>
        <w:gridCol w:w="1971"/>
        <w:gridCol w:w="98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4" w:hRule="exact"/>
        </w:trPr>
        <w:tc>
          <w:tcPr>
            <w:tcW w:w="555" w:type="pct"/>
          </w:tcPr>
          <w:p>
            <w:pPr>
              <w:spacing w:line="440" w:lineRule="exact"/>
              <w:rPr>
                <w:rFonts w:ascii="宋体" w:hAnsi="宋体"/>
                <w:color w:val="000000"/>
                <w:szCs w:val="21"/>
              </w:rPr>
            </w:pPr>
            <w:r>
              <w:rPr>
                <w:rFonts w:hint="eastAsia" w:ascii="宋体" w:hAnsi="宋体"/>
                <w:color w:val="000000"/>
                <w:szCs w:val="21"/>
              </w:rPr>
              <w:t>序号号</w:t>
            </w:r>
          </w:p>
        </w:tc>
        <w:tc>
          <w:tcPr>
            <w:tcW w:w="2691" w:type="pct"/>
          </w:tcPr>
          <w:p>
            <w:pPr>
              <w:spacing w:line="440" w:lineRule="exact"/>
              <w:jc w:val="center"/>
              <w:rPr>
                <w:rFonts w:ascii="宋体" w:hAnsi="宋体"/>
                <w:color w:val="000000"/>
                <w:szCs w:val="21"/>
              </w:rPr>
            </w:pPr>
            <w:r>
              <w:rPr>
                <w:rFonts w:hint="eastAsia" w:ascii="宋体" w:hAnsi="宋体"/>
                <w:color w:val="000000"/>
                <w:szCs w:val="21"/>
              </w:rPr>
              <w:t>产品名称</w:t>
            </w:r>
          </w:p>
        </w:tc>
        <w:tc>
          <w:tcPr>
            <w:tcW w:w="1169" w:type="pct"/>
          </w:tcPr>
          <w:p>
            <w:pPr>
              <w:spacing w:line="440" w:lineRule="exact"/>
              <w:jc w:val="center"/>
              <w:rPr>
                <w:rFonts w:ascii="宋体" w:hAnsi="宋体"/>
                <w:color w:val="000000"/>
                <w:szCs w:val="21"/>
              </w:rPr>
            </w:pPr>
            <w:r>
              <w:rPr>
                <w:rFonts w:hint="eastAsia" w:ascii="宋体" w:hAnsi="宋体"/>
                <w:color w:val="000000"/>
                <w:szCs w:val="21"/>
              </w:rPr>
              <w:t>服务期限</w:t>
            </w:r>
          </w:p>
        </w:tc>
        <w:tc>
          <w:tcPr>
            <w:tcW w:w="585" w:type="pct"/>
          </w:tcPr>
          <w:p>
            <w:pPr>
              <w:spacing w:line="440" w:lineRule="exact"/>
              <w:jc w:val="center"/>
              <w:rPr>
                <w:rFonts w:ascii="宋体" w:hAnsi="宋体"/>
                <w:color w:val="000000"/>
                <w:szCs w:val="21"/>
              </w:rPr>
            </w:pPr>
            <w:r>
              <w:rPr>
                <w:rFonts w:hint="eastAsia" w:ascii="宋体" w:hAnsi="宋体"/>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2" w:hRule="exact"/>
        </w:trPr>
        <w:tc>
          <w:tcPr>
            <w:tcW w:w="555" w:type="pct"/>
            <w:vAlign w:val="center"/>
          </w:tcPr>
          <w:p>
            <w:pPr>
              <w:spacing w:line="360" w:lineRule="auto"/>
              <w:ind w:firstLine="105" w:firstLineChars="50"/>
              <w:jc w:val="center"/>
              <w:rPr>
                <w:rFonts w:ascii="宋体" w:hAnsi="宋体"/>
                <w:color w:val="FFFFFF"/>
                <w:szCs w:val="21"/>
                <w:highlight w:val="red"/>
              </w:rPr>
            </w:pPr>
            <w:r>
              <w:rPr>
                <w:rFonts w:ascii="宋体" w:hAnsi="宋体"/>
                <w:szCs w:val="21"/>
              </w:rPr>
              <w:t>1</w:t>
            </w:r>
          </w:p>
        </w:tc>
        <w:tc>
          <w:tcPr>
            <w:tcW w:w="2691" w:type="pct"/>
            <w:vAlign w:val="center"/>
          </w:tcPr>
          <w:p>
            <w:pPr>
              <w:spacing w:line="360" w:lineRule="auto"/>
              <w:jc w:val="center"/>
              <w:rPr>
                <w:rFonts w:ascii="宋体" w:hAnsi="宋体"/>
                <w:szCs w:val="21"/>
                <w:highlight w:val="red"/>
              </w:rPr>
            </w:pPr>
            <w:r>
              <w:rPr>
                <w:rFonts w:hint="eastAsia" w:ascii="宋体" w:hAnsi="宋体"/>
                <w:szCs w:val="21"/>
              </w:rPr>
              <w:t>机房重要设施维保服务</w:t>
            </w:r>
          </w:p>
        </w:tc>
        <w:tc>
          <w:tcPr>
            <w:tcW w:w="1169" w:type="pct"/>
            <w:vAlign w:val="center"/>
          </w:tcPr>
          <w:p>
            <w:pPr>
              <w:spacing w:line="360" w:lineRule="auto"/>
              <w:jc w:val="center"/>
              <w:rPr>
                <w:rFonts w:ascii="宋体" w:hAnsi="宋体"/>
                <w:szCs w:val="21"/>
                <w:highlight w:val="red"/>
              </w:rPr>
            </w:pPr>
            <w:r>
              <w:rPr>
                <w:rFonts w:hint="eastAsia" w:ascii="宋体" w:hAnsi="宋体"/>
                <w:szCs w:val="21"/>
              </w:rPr>
              <w:t>1年</w:t>
            </w:r>
          </w:p>
        </w:tc>
        <w:tc>
          <w:tcPr>
            <w:tcW w:w="585" w:type="pct"/>
            <w:vAlign w:val="center"/>
          </w:tcPr>
          <w:p>
            <w:pPr>
              <w:tabs>
                <w:tab w:val="center" w:pos="317"/>
              </w:tabs>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exact"/>
        </w:trPr>
        <w:tc>
          <w:tcPr>
            <w:tcW w:w="555" w:type="pct"/>
            <w:vAlign w:val="center"/>
          </w:tcPr>
          <w:p>
            <w:pPr>
              <w:spacing w:line="440" w:lineRule="exact"/>
              <w:ind w:firstLine="105" w:firstLineChars="50"/>
              <w:jc w:val="center"/>
              <w:rPr>
                <w:rFonts w:ascii="宋体" w:hAnsi="宋体"/>
                <w:szCs w:val="21"/>
              </w:rPr>
            </w:pPr>
            <w:r>
              <w:rPr>
                <w:rFonts w:hint="eastAsia" w:ascii="宋体" w:hAnsi="宋体"/>
                <w:szCs w:val="21"/>
              </w:rPr>
              <w:t>2</w:t>
            </w:r>
          </w:p>
        </w:tc>
        <w:tc>
          <w:tcPr>
            <w:tcW w:w="2691" w:type="pct"/>
            <w:vAlign w:val="center"/>
          </w:tcPr>
          <w:p>
            <w:pPr>
              <w:jc w:val="center"/>
              <w:rPr>
                <w:szCs w:val="21"/>
              </w:rPr>
            </w:pPr>
            <w:r>
              <w:rPr>
                <w:rFonts w:ascii="宋体" w:hAnsi="宋体"/>
                <w:szCs w:val="21"/>
                <w:lang w:bidi="zh-CN"/>
              </w:rPr>
              <w:t>数据库优化服务</w:t>
            </w:r>
          </w:p>
        </w:tc>
        <w:tc>
          <w:tcPr>
            <w:tcW w:w="1169" w:type="pct"/>
            <w:vAlign w:val="center"/>
          </w:tcPr>
          <w:p>
            <w:pPr>
              <w:spacing w:line="360" w:lineRule="auto"/>
              <w:jc w:val="center"/>
              <w:rPr>
                <w:rFonts w:ascii="宋体" w:hAnsi="宋体"/>
                <w:szCs w:val="21"/>
                <w:highlight w:val="red"/>
              </w:rPr>
            </w:pPr>
            <w:r>
              <w:rPr>
                <w:rFonts w:hint="eastAsia" w:ascii="宋体" w:hAnsi="宋体"/>
                <w:szCs w:val="21"/>
              </w:rPr>
              <w:t>1年</w:t>
            </w:r>
          </w:p>
        </w:tc>
        <w:tc>
          <w:tcPr>
            <w:tcW w:w="585" w:type="pct"/>
            <w:vAlign w:val="center"/>
          </w:tcPr>
          <w:p>
            <w:pPr>
              <w:jc w:val="center"/>
              <w:rPr>
                <w:rFonts w:ascii="宋体" w:hAnsi="宋体"/>
                <w:szCs w:val="21"/>
              </w:rPr>
            </w:pPr>
          </w:p>
        </w:tc>
      </w:tr>
    </w:tbl>
    <w:p>
      <w:pPr>
        <w:spacing w:line="360" w:lineRule="auto"/>
        <w:outlineLvl w:val="0"/>
        <w:rPr>
          <w:rFonts w:ascii="宋体" w:hAnsi="宋体" w:cs="宋体"/>
          <w:b/>
          <w:bCs/>
          <w:color w:val="000000"/>
        </w:rPr>
      </w:pPr>
      <w:r>
        <w:rPr>
          <w:rFonts w:hint="eastAsia"/>
        </w:rPr>
        <w:t>二、</w:t>
      </w:r>
      <w:r>
        <w:rPr>
          <w:rFonts w:ascii="宋体" w:hAnsi="宋体" w:cs="宋体"/>
          <w:b/>
          <w:bCs/>
          <w:color w:val="000000"/>
        </w:rPr>
        <w:t>维保</w:t>
      </w:r>
      <w:r>
        <w:rPr>
          <w:rFonts w:hint="eastAsia" w:ascii="宋体" w:hAnsi="宋体" w:cs="宋体"/>
          <w:b/>
          <w:bCs/>
          <w:color w:val="000000"/>
        </w:rPr>
        <w:t>设备清单：</w:t>
      </w:r>
    </w:p>
    <w:tbl>
      <w:tblPr>
        <w:tblStyle w:val="4"/>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683"/>
        <w:gridCol w:w="1748"/>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widowControl/>
              <w:jc w:val="center"/>
              <w:rPr>
                <w:rFonts w:ascii="宋体" w:hAnsi="宋体" w:cs="宋体"/>
                <w:color w:val="000000"/>
                <w:szCs w:val="21"/>
              </w:rPr>
            </w:pPr>
            <w:r>
              <w:rPr>
                <w:rFonts w:hint="eastAsia" w:ascii="宋体" w:hAnsi="宋体" w:cs="宋体"/>
                <w:color w:val="000000"/>
                <w:szCs w:val="21"/>
              </w:rPr>
              <w:t>序号</w:t>
            </w:r>
          </w:p>
        </w:tc>
        <w:tc>
          <w:tcPr>
            <w:tcW w:w="2683" w:type="dxa"/>
            <w:vAlign w:val="center"/>
          </w:tcPr>
          <w:p>
            <w:pPr>
              <w:widowControl/>
              <w:jc w:val="center"/>
              <w:rPr>
                <w:rFonts w:ascii="宋体" w:hAnsi="宋体" w:cs="宋体"/>
                <w:color w:val="000000"/>
                <w:szCs w:val="21"/>
              </w:rPr>
            </w:pPr>
            <w:r>
              <w:rPr>
                <w:rFonts w:hint="eastAsia" w:ascii="宋体" w:hAnsi="宋体" w:cs="宋体"/>
                <w:color w:val="000000"/>
                <w:szCs w:val="21"/>
              </w:rPr>
              <w:t>设备</w:t>
            </w:r>
          </w:p>
        </w:tc>
        <w:tc>
          <w:tcPr>
            <w:tcW w:w="1748" w:type="dxa"/>
            <w:vAlign w:val="center"/>
          </w:tcPr>
          <w:p>
            <w:pPr>
              <w:widowControl/>
              <w:jc w:val="center"/>
              <w:rPr>
                <w:rFonts w:ascii="宋体" w:hAnsi="宋体" w:cs="宋体"/>
                <w:color w:val="000000"/>
                <w:szCs w:val="21"/>
              </w:rPr>
            </w:pPr>
            <w:r>
              <w:rPr>
                <w:rFonts w:hint="eastAsia" w:ascii="宋体" w:hAnsi="宋体" w:cs="宋体"/>
                <w:color w:val="000000"/>
                <w:szCs w:val="21"/>
              </w:rPr>
              <w:t>数量(单位：台)</w:t>
            </w:r>
          </w:p>
        </w:tc>
        <w:tc>
          <w:tcPr>
            <w:tcW w:w="3489" w:type="dxa"/>
            <w:vAlign w:val="center"/>
          </w:tcPr>
          <w:p>
            <w:pPr>
              <w:widowControl/>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ind w:right="34" w:rightChars="16"/>
              <w:jc w:val="center"/>
              <w:rPr>
                <w:rFonts w:ascii="宋体" w:hAnsi="宋体" w:cs="宋体"/>
                <w:color w:val="000000"/>
                <w:szCs w:val="21"/>
              </w:rPr>
            </w:pPr>
            <w:r>
              <w:rPr>
                <w:rFonts w:hint="eastAsia" w:ascii="宋体" w:hAnsi="宋体" w:cs="宋体"/>
                <w:color w:val="000000"/>
                <w:szCs w:val="21"/>
              </w:rPr>
              <w:t>1</w:t>
            </w:r>
          </w:p>
        </w:tc>
        <w:tc>
          <w:tcPr>
            <w:tcW w:w="2683"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服务器</w:t>
            </w:r>
          </w:p>
        </w:tc>
        <w:tc>
          <w:tcPr>
            <w:tcW w:w="1748"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0</w:t>
            </w:r>
          </w:p>
        </w:tc>
        <w:tc>
          <w:tcPr>
            <w:tcW w:w="3489" w:type="dxa"/>
            <w:vAlign w:val="center"/>
          </w:tcPr>
          <w:p>
            <w:pPr>
              <w:tabs>
                <w:tab w:val="left" w:pos="425"/>
                <w:tab w:val="left" w:pos="964"/>
              </w:tabs>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2</w:t>
            </w:r>
          </w:p>
        </w:tc>
        <w:tc>
          <w:tcPr>
            <w:tcW w:w="2683"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存储设备</w:t>
            </w:r>
          </w:p>
        </w:tc>
        <w:tc>
          <w:tcPr>
            <w:tcW w:w="1748"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20</w:t>
            </w:r>
          </w:p>
        </w:tc>
        <w:tc>
          <w:tcPr>
            <w:tcW w:w="3489"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存储及相关容灾设备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3</w:t>
            </w:r>
          </w:p>
        </w:tc>
        <w:tc>
          <w:tcPr>
            <w:tcW w:w="2683"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光纤交换机</w:t>
            </w:r>
          </w:p>
        </w:tc>
        <w:tc>
          <w:tcPr>
            <w:tcW w:w="1748"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w:t>
            </w:r>
          </w:p>
        </w:tc>
        <w:tc>
          <w:tcPr>
            <w:tcW w:w="3489" w:type="dxa"/>
            <w:vAlign w:val="center"/>
          </w:tcPr>
          <w:p>
            <w:pPr>
              <w:tabs>
                <w:tab w:val="left" w:pos="425"/>
                <w:tab w:val="left" w:pos="964"/>
              </w:tabs>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4</w:t>
            </w:r>
          </w:p>
        </w:tc>
        <w:tc>
          <w:tcPr>
            <w:tcW w:w="2683"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网络设备</w:t>
            </w:r>
          </w:p>
        </w:tc>
        <w:tc>
          <w:tcPr>
            <w:tcW w:w="1748"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40</w:t>
            </w:r>
          </w:p>
        </w:tc>
        <w:tc>
          <w:tcPr>
            <w:tcW w:w="3489" w:type="dxa"/>
            <w:vAlign w:val="center"/>
          </w:tcPr>
          <w:p>
            <w:pPr>
              <w:tabs>
                <w:tab w:val="left" w:pos="425"/>
                <w:tab w:val="left" w:pos="964"/>
              </w:tabs>
              <w:spacing w:line="440" w:lineRule="exact"/>
              <w:jc w:val="center"/>
              <w:rPr>
                <w:rFonts w:ascii="宋体" w:hAnsi="宋体" w:cs="宋体"/>
                <w:color w:val="000000"/>
                <w:szCs w:val="21"/>
              </w:rPr>
            </w:pPr>
            <w:r>
              <w:rPr>
                <w:rFonts w:hint="eastAsia" w:ascii="宋体" w:hAnsi="宋体" w:cs="宋体"/>
                <w:color w:val="000000"/>
                <w:szCs w:val="21"/>
              </w:rPr>
              <w:t>不包含网络安全设备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5</w:t>
            </w:r>
          </w:p>
        </w:tc>
        <w:tc>
          <w:tcPr>
            <w:tcW w:w="2683" w:type="dxa"/>
            <w:vAlign w:val="center"/>
          </w:tcPr>
          <w:p>
            <w:pPr>
              <w:tabs>
                <w:tab w:val="left" w:pos="425"/>
                <w:tab w:val="left" w:pos="964"/>
              </w:tabs>
              <w:jc w:val="center"/>
              <w:rPr>
                <w:rFonts w:ascii="宋体" w:hAnsi="宋体"/>
              </w:rPr>
            </w:pPr>
            <w:r>
              <w:rPr>
                <w:rFonts w:hint="eastAsia" w:ascii="宋体" w:hAnsi="宋体"/>
              </w:rPr>
              <w:t>HP</w:t>
            </w:r>
            <w:r>
              <w:rPr>
                <w:rFonts w:ascii="宋体" w:hAnsi="宋体"/>
              </w:rPr>
              <w:t xml:space="preserve"> </w:t>
            </w:r>
            <w:r>
              <w:rPr>
                <w:rFonts w:hint="eastAsia" w:ascii="宋体" w:hAnsi="宋体"/>
              </w:rPr>
              <w:t>DP备份软件支持</w:t>
            </w:r>
          </w:p>
        </w:tc>
        <w:tc>
          <w:tcPr>
            <w:tcW w:w="1748" w:type="dxa"/>
            <w:vAlign w:val="center"/>
          </w:tcPr>
          <w:p>
            <w:pPr>
              <w:tabs>
                <w:tab w:val="left" w:pos="425"/>
                <w:tab w:val="left" w:pos="964"/>
              </w:tabs>
              <w:jc w:val="center"/>
              <w:rPr>
                <w:rFonts w:ascii="宋体" w:hAnsi="宋体"/>
              </w:rPr>
            </w:pPr>
            <w:r>
              <w:rPr>
                <w:rFonts w:ascii="宋体" w:hAnsi="宋体"/>
              </w:rPr>
              <w:t>1</w:t>
            </w:r>
          </w:p>
        </w:tc>
        <w:tc>
          <w:tcPr>
            <w:tcW w:w="3489" w:type="dxa"/>
          </w:tcPr>
          <w:p>
            <w:pPr>
              <w:numPr>
                <w:ilvl w:val="0"/>
                <w:numId w:val="1"/>
              </w:numPr>
              <w:tabs>
                <w:tab w:val="left" w:pos="425"/>
                <w:tab w:val="left" w:pos="964"/>
              </w:tabs>
              <w:rPr>
                <w:rFonts w:ascii="宋体" w:hAnsi="宋体"/>
              </w:rPr>
            </w:pPr>
            <w:r>
              <w:rPr>
                <w:rFonts w:hint="eastAsia" w:ascii="宋体" w:hAnsi="宋体"/>
              </w:rPr>
              <w:t>提供HP</w:t>
            </w:r>
            <w:r>
              <w:rPr>
                <w:rFonts w:ascii="宋体" w:hAnsi="宋体"/>
              </w:rPr>
              <w:t xml:space="preserve"> </w:t>
            </w:r>
            <w:r>
              <w:rPr>
                <w:rFonts w:hint="eastAsia" w:ascii="宋体" w:hAnsi="宋体"/>
              </w:rPr>
              <w:t>DP备份软件支持</w:t>
            </w:r>
          </w:p>
          <w:p>
            <w:pPr>
              <w:numPr>
                <w:ilvl w:val="0"/>
                <w:numId w:val="1"/>
              </w:numPr>
              <w:tabs>
                <w:tab w:val="left" w:pos="425"/>
                <w:tab w:val="left" w:pos="964"/>
              </w:tabs>
              <w:rPr>
                <w:rFonts w:ascii="宋体" w:hAnsi="宋体"/>
              </w:rPr>
            </w:pPr>
            <w:r>
              <w:rPr>
                <w:rFonts w:hint="eastAsia" w:ascii="宋体" w:hAnsi="宋体"/>
              </w:rPr>
              <w:t>提供数据库备份及恢复支持</w:t>
            </w:r>
          </w:p>
          <w:p>
            <w:pPr>
              <w:numPr>
                <w:ilvl w:val="0"/>
                <w:numId w:val="1"/>
              </w:numPr>
              <w:tabs>
                <w:tab w:val="left" w:pos="425"/>
                <w:tab w:val="left" w:pos="964"/>
              </w:tabs>
              <w:rPr>
                <w:rFonts w:ascii="宋体" w:hAnsi="宋体"/>
              </w:rPr>
            </w:pPr>
            <w:r>
              <w:rPr>
                <w:rFonts w:hint="eastAsia" w:ascii="宋体" w:hAnsi="宋体"/>
              </w:rPr>
              <w:t>提供新增备份节点支持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6</w:t>
            </w:r>
          </w:p>
        </w:tc>
        <w:tc>
          <w:tcPr>
            <w:tcW w:w="2683" w:type="dxa"/>
            <w:vAlign w:val="center"/>
          </w:tcPr>
          <w:p>
            <w:pPr>
              <w:tabs>
                <w:tab w:val="left" w:pos="425"/>
                <w:tab w:val="left" w:pos="964"/>
              </w:tabs>
              <w:jc w:val="center"/>
              <w:rPr>
                <w:rFonts w:ascii="宋体" w:hAnsi="宋体"/>
              </w:rPr>
            </w:pPr>
            <w:r>
              <w:rPr>
                <w:rFonts w:hint="eastAsia" w:ascii="宋体" w:hAnsi="宋体"/>
              </w:rPr>
              <w:t>虚拟带库（YWVTL）支持</w:t>
            </w:r>
          </w:p>
        </w:tc>
        <w:tc>
          <w:tcPr>
            <w:tcW w:w="1748" w:type="dxa"/>
            <w:vAlign w:val="center"/>
          </w:tcPr>
          <w:p>
            <w:pPr>
              <w:tabs>
                <w:tab w:val="left" w:pos="425"/>
                <w:tab w:val="left" w:pos="964"/>
              </w:tabs>
              <w:jc w:val="center"/>
              <w:rPr>
                <w:rFonts w:ascii="宋体" w:hAnsi="宋体"/>
              </w:rPr>
            </w:pPr>
            <w:r>
              <w:rPr>
                <w:rFonts w:ascii="宋体" w:hAnsi="宋体"/>
              </w:rPr>
              <w:t>1</w:t>
            </w:r>
          </w:p>
        </w:tc>
        <w:tc>
          <w:tcPr>
            <w:tcW w:w="3489" w:type="dxa"/>
          </w:tcPr>
          <w:p>
            <w:pPr>
              <w:numPr>
                <w:ilvl w:val="0"/>
                <w:numId w:val="2"/>
              </w:numPr>
              <w:tabs>
                <w:tab w:val="left" w:pos="425"/>
                <w:tab w:val="left" w:pos="964"/>
              </w:tabs>
              <w:rPr>
                <w:rFonts w:ascii="宋体" w:hAnsi="宋体"/>
              </w:rPr>
            </w:pPr>
            <w:r>
              <w:rPr>
                <w:rFonts w:hint="eastAsia" w:ascii="宋体" w:hAnsi="宋体"/>
              </w:rPr>
              <w:t>提供虚拟带库软件支持</w:t>
            </w:r>
          </w:p>
          <w:p>
            <w:pPr>
              <w:numPr>
                <w:ilvl w:val="0"/>
                <w:numId w:val="2"/>
              </w:numPr>
              <w:tabs>
                <w:tab w:val="left" w:pos="425"/>
                <w:tab w:val="left" w:pos="964"/>
              </w:tabs>
              <w:rPr>
                <w:rFonts w:ascii="宋体" w:hAnsi="宋体"/>
              </w:rPr>
            </w:pPr>
            <w:r>
              <w:rPr>
                <w:rFonts w:hint="eastAsia" w:ascii="宋体" w:hAnsi="宋体"/>
              </w:rPr>
              <w:t>提供虚拟带库存储支持</w:t>
            </w:r>
          </w:p>
          <w:p>
            <w:pPr>
              <w:numPr>
                <w:ilvl w:val="0"/>
                <w:numId w:val="2"/>
              </w:numPr>
              <w:tabs>
                <w:tab w:val="left" w:pos="425"/>
                <w:tab w:val="left" w:pos="964"/>
              </w:tabs>
              <w:rPr>
                <w:rFonts w:ascii="宋体" w:hAnsi="宋体"/>
              </w:rPr>
            </w:pPr>
            <w:r>
              <w:rPr>
                <w:rFonts w:ascii="宋体" w:hAnsi="宋体"/>
                <w:lang w:bidi="zh-CN"/>
              </w:rPr>
              <w:t>提供虚拟带库远程复制许可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7</w:t>
            </w:r>
          </w:p>
        </w:tc>
        <w:tc>
          <w:tcPr>
            <w:tcW w:w="2683" w:type="dxa"/>
            <w:vAlign w:val="center"/>
          </w:tcPr>
          <w:p>
            <w:pPr>
              <w:tabs>
                <w:tab w:val="left" w:pos="425"/>
                <w:tab w:val="left" w:pos="964"/>
              </w:tabs>
              <w:jc w:val="center"/>
              <w:rPr>
                <w:rFonts w:ascii="宋体" w:hAnsi="宋体"/>
              </w:rPr>
            </w:pPr>
            <w:r>
              <w:rPr>
                <w:rFonts w:hint="eastAsia" w:ascii="宋体" w:hAnsi="宋体"/>
              </w:rPr>
              <w:t>虚拟化平台支持</w:t>
            </w:r>
          </w:p>
          <w:p>
            <w:pPr>
              <w:tabs>
                <w:tab w:val="left" w:pos="425"/>
                <w:tab w:val="left" w:pos="964"/>
              </w:tabs>
              <w:jc w:val="center"/>
              <w:rPr>
                <w:rFonts w:ascii="宋体" w:hAnsi="宋体"/>
              </w:rPr>
            </w:pPr>
            <w:r>
              <w:rPr>
                <w:rFonts w:hint="eastAsia" w:ascii="宋体" w:hAnsi="宋体"/>
              </w:rPr>
              <w:t>（VMWARE）</w:t>
            </w:r>
          </w:p>
        </w:tc>
        <w:tc>
          <w:tcPr>
            <w:tcW w:w="1748" w:type="dxa"/>
            <w:vAlign w:val="center"/>
          </w:tcPr>
          <w:p>
            <w:pPr>
              <w:tabs>
                <w:tab w:val="left" w:pos="425"/>
                <w:tab w:val="left" w:pos="964"/>
              </w:tabs>
              <w:jc w:val="center"/>
              <w:rPr>
                <w:rFonts w:ascii="宋体" w:hAnsi="宋体"/>
              </w:rPr>
            </w:pPr>
            <w:r>
              <w:rPr>
                <w:rFonts w:ascii="宋体" w:hAnsi="宋体"/>
              </w:rPr>
              <w:t>1</w:t>
            </w:r>
          </w:p>
        </w:tc>
        <w:tc>
          <w:tcPr>
            <w:tcW w:w="3489" w:type="dxa"/>
          </w:tcPr>
          <w:p>
            <w:pPr>
              <w:numPr>
                <w:ilvl w:val="0"/>
                <w:numId w:val="3"/>
              </w:numPr>
              <w:tabs>
                <w:tab w:val="left" w:pos="425"/>
                <w:tab w:val="left" w:pos="964"/>
              </w:tabs>
              <w:rPr>
                <w:rFonts w:ascii="宋体" w:hAnsi="宋体"/>
              </w:rPr>
            </w:pPr>
            <w:r>
              <w:rPr>
                <w:rFonts w:hint="eastAsia" w:ascii="宋体" w:hAnsi="宋体"/>
              </w:rPr>
              <w:t>提供虚拟化Esxi系统支持</w:t>
            </w:r>
          </w:p>
          <w:p>
            <w:pPr>
              <w:numPr>
                <w:ilvl w:val="0"/>
                <w:numId w:val="3"/>
              </w:numPr>
              <w:tabs>
                <w:tab w:val="left" w:pos="425"/>
                <w:tab w:val="left" w:pos="964"/>
              </w:tabs>
              <w:rPr>
                <w:rFonts w:ascii="宋体" w:hAnsi="宋体"/>
              </w:rPr>
            </w:pPr>
            <w:r>
              <w:rPr>
                <w:rFonts w:hint="eastAsia" w:ascii="宋体" w:hAnsi="宋体"/>
              </w:rPr>
              <w:t>提供新增服务器配置支持</w:t>
            </w:r>
          </w:p>
          <w:p>
            <w:pPr>
              <w:numPr>
                <w:ilvl w:val="0"/>
                <w:numId w:val="3"/>
              </w:numPr>
              <w:tabs>
                <w:tab w:val="left" w:pos="425"/>
                <w:tab w:val="left" w:pos="964"/>
              </w:tabs>
              <w:rPr>
                <w:rFonts w:ascii="宋体" w:hAnsi="宋体"/>
              </w:rPr>
            </w:pPr>
            <w:r>
              <w:rPr>
                <w:rFonts w:hint="eastAsia" w:ascii="宋体" w:hAnsi="宋体"/>
              </w:rPr>
              <w:t>提供虚拟化主机模版部署支持</w:t>
            </w:r>
          </w:p>
          <w:p>
            <w:pPr>
              <w:numPr>
                <w:ilvl w:val="0"/>
                <w:numId w:val="3"/>
              </w:numPr>
              <w:tabs>
                <w:tab w:val="left" w:pos="425"/>
                <w:tab w:val="left" w:pos="964"/>
              </w:tabs>
              <w:rPr>
                <w:rFonts w:ascii="宋体" w:hAnsi="宋体"/>
              </w:rPr>
            </w:pPr>
            <w:r>
              <w:rPr>
                <w:rFonts w:hint="eastAsia" w:ascii="宋体" w:hAnsi="宋体"/>
              </w:rPr>
              <w:t>提供虚拟化平台网络配置支持。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8</w:t>
            </w:r>
          </w:p>
        </w:tc>
        <w:tc>
          <w:tcPr>
            <w:tcW w:w="2683" w:type="dxa"/>
            <w:vAlign w:val="center"/>
          </w:tcPr>
          <w:p>
            <w:pPr>
              <w:tabs>
                <w:tab w:val="left" w:pos="425"/>
                <w:tab w:val="left" w:pos="964"/>
              </w:tabs>
              <w:jc w:val="center"/>
              <w:rPr>
                <w:rFonts w:ascii="宋体" w:hAnsi="宋体"/>
              </w:rPr>
            </w:pPr>
            <w:r>
              <w:rPr>
                <w:rFonts w:hint="eastAsia" w:ascii="宋体" w:hAnsi="宋体"/>
              </w:rPr>
              <w:t>EMC</w:t>
            </w:r>
            <w:r>
              <w:rPr>
                <w:rFonts w:ascii="宋体" w:hAnsi="宋体"/>
              </w:rPr>
              <w:t xml:space="preserve"> </w:t>
            </w:r>
            <w:r>
              <w:rPr>
                <w:rFonts w:hint="eastAsia" w:ascii="宋体" w:hAnsi="宋体"/>
              </w:rPr>
              <w:t>CDP支持</w:t>
            </w:r>
          </w:p>
          <w:p>
            <w:pPr>
              <w:tabs>
                <w:tab w:val="left" w:pos="425"/>
                <w:tab w:val="left" w:pos="964"/>
              </w:tabs>
              <w:jc w:val="center"/>
              <w:rPr>
                <w:rFonts w:ascii="宋体" w:hAnsi="宋体"/>
              </w:rPr>
            </w:pPr>
            <w:r>
              <w:rPr>
                <w:rFonts w:hint="eastAsia" w:ascii="宋体" w:hAnsi="宋体"/>
              </w:rPr>
              <w:t>（RecoverPoint）</w:t>
            </w:r>
          </w:p>
        </w:tc>
        <w:tc>
          <w:tcPr>
            <w:tcW w:w="1748" w:type="dxa"/>
            <w:vAlign w:val="center"/>
          </w:tcPr>
          <w:p>
            <w:pPr>
              <w:tabs>
                <w:tab w:val="left" w:pos="425"/>
                <w:tab w:val="left" w:pos="964"/>
              </w:tabs>
              <w:jc w:val="center"/>
              <w:rPr>
                <w:rFonts w:ascii="宋体" w:hAnsi="宋体"/>
              </w:rPr>
            </w:pPr>
            <w:r>
              <w:rPr>
                <w:rFonts w:ascii="宋体" w:hAnsi="宋体"/>
              </w:rPr>
              <w:t>1</w:t>
            </w:r>
          </w:p>
        </w:tc>
        <w:tc>
          <w:tcPr>
            <w:tcW w:w="3489" w:type="dxa"/>
          </w:tcPr>
          <w:p>
            <w:pPr>
              <w:numPr>
                <w:ilvl w:val="0"/>
                <w:numId w:val="4"/>
              </w:numPr>
              <w:tabs>
                <w:tab w:val="left" w:pos="425"/>
                <w:tab w:val="left" w:pos="964"/>
              </w:tabs>
              <w:rPr>
                <w:rFonts w:ascii="宋体" w:hAnsi="宋体"/>
              </w:rPr>
            </w:pPr>
            <w:r>
              <w:rPr>
                <w:rFonts w:hint="eastAsia" w:ascii="宋体" w:hAnsi="宋体"/>
              </w:rPr>
              <w:t>提供新增应用新增CDP卷支持</w:t>
            </w:r>
          </w:p>
          <w:p>
            <w:pPr>
              <w:numPr>
                <w:ilvl w:val="0"/>
                <w:numId w:val="4"/>
              </w:numPr>
              <w:tabs>
                <w:tab w:val="left" w:pos="425"/>
                <w:tab w:val="left" w:pos="964"/>
              </w:tabs>
              <w:rPr>
                <w:rFonts w:ascii="宋体" w:hAnsi="宋体"/>
              </w:rPr>
            </w:pPr>
            <w:r>
              <w:rPr>
                <w:rFonts w:hint="eastAsia" w:ascii="宋体" w:hAnsi="宋体"/>
              </w:rPr>
              <w:t>提供恢复演练支持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9</w:t>
            </w:r>
          </w:p>
        </w:tc>
        <w:tc>
          <w:tcPr>
            <w:tcW w:w="2683" w:type="dxa"/>
            <w:vAlign w:val="center"/>
          </w:tcPr>
          <w:p>
            <w:pPr>
              <w:tabs>
                <w:tab w:val="left" w:pos="425"/>
                <w:tab w:val="left" w:pos="964"/>
              </w:tabs>
              <w:jc w:val="center"/>
              <w:rPr>
                <w:rFonts w:ascii="宋体" w:hAnsi="宋体"/>
              </w:rPr>
            </w:pPr>
            <w:r>
              <w:rPr>
                <w:rFonts w:hint="eastAsia" w:ascii="宋体" w:hAnsi="宋体"/>
              </w:rPr>
              <w:t>VPLEX</w:t>
            </w:r>
            <w:r>
              <w:rPr>
                <w:rFonts w:ascii="宋体" w:hAnsi="宋体"/>
              </w:rPr>
              <w:t xml:space="preserve"> </w:t>
            </w:r>
            <w:r>
              <w:rPr>
                <w:rFonts w:hint="eastAsia" w:ascii="宋体" w:hAnsi="宋体"/>
              </w:rPr>
              <w:t>双活支持</w:t>
            </w:r>
          </w:p>
        </w:tc>
        <w:tc>
          <w:tcPr>
            <w:tcW w:w="1748" w:type="dxa"/>
            <w:vAlign w:val="center"/>
          </w:tcPr>
          <w:p>
            <w:pPr>
              <w:tabs>
                <w:tab w:val="left" w:pos="425"/>
                <w:tab w:val="left" w:pos="964"/>
              </w:tabs>
              <w:jc w:val="center"/>
              <w:rPr>
                <w:rFonts w:ascii="宋体" w:hAnsi="宋体"/>
              </w:rPr>
            </w:pPr>
            <w:r>
              <w:rPr>
                <w:rFonts w:hint="eastAsia" w:ascii="宋体" w:hAnsi="宋体"/>
              </w:rPr>
              <w:t>1</w:t>
            </w:r>
          </w:p>
        </w:tc>
        <w:tc>
          <w:tcPr>
            <w:tcW w:w="3489" w:type="dxa"/>
          </w:tcPr>
          <w:p>
            <w:pPr>
              <w:numPr>
                <w:ilvl w:val="0"/>
                <w:numId w:val="5"/>
              </w:numPr>
              <w:tabs>
                <w:tab w:val="left" w:pos="425"/>
                <w:tab w:val="left" w:pos="964"/>
              </w:tabs>
              <w:rPr>
                <w:rFonts w:ascii="宋体" w:hAnsi="宋体"/>
              </w:rPr>
            </w:pPr>
            <w:r>
              <w:rPr>
                <w:rFonts w:hint="eastAsia" w:ascii="宋体" w:hAnsi="宋体"/>
              </w:rPr>
              <w:t>提供VPLEX双活卷配置、新增支持</w:t>
            </w:r>
          </w:p>
          <w:p>
            <w:pPr>
              <w:numPr>
                <w:ilvl w:val="0"/>
                <w:numId w:val="5"/>
              </w:numPr>
              <w:tabs>
                <w:tab w:val="left" w:pos="425"/>
                <w:tab w:val="left" w:pos="964"/>
              </w:tabs>
              <w:rPr>
                <w:rFonts w:ascii="宋体" w:hAnsi="宋体"/>
              </w:rPr>
            </w:pPr>
            <w:r>
              <w:rPr>
                <w:rFonts w:hint="eastAsia" w:ascii="宋体" w:hAnsi="宋体"/>
              </w:rPr>
              <w:t>提供VPLEX双活切换演练支持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10</w:t>
            </w:r>
          </w:p>
        </w:tc>
        <w:tc>
          <w:tcPr>
            <w:tcW w:w="2683" w:type="dxa"/>
            <w:vAlign w:val="center"/>
          </w:tcPr>
          <w:p>
            <w:pPr>
              <w:tabs>
                <w:tab w:val="left" w:pos="425"/>
                <w:tab w:val="left" w:pos="964"/>
              </w:tabs>
              <w:jc w:val="center"/>
              <w:rPr>
                <w:rFonts w:ascii="宋体" w:hAnsi="宋体"/>
              </w:rPr>
            </w:pPr>
            <w:r>
              <w:rPr>
                <w:rFonts w:hint="eastAsia" w:ascii="宋体" w:hAnsi="宋体"/>
              </w:rPr>
              <w:t>服务器操作系统支持</w:t>
            </w:r>
          </w:p>
          <w:p>
            <w:pPr>
              <w:tabs>
                <w:tab w:val="left" w:pos="425"/>
                <w:tab w:val="left" w:pos="964"/>
              </w:tabs>
              <w:jc w:val="center"/>
              <w:rPr>
                <w:rFonts w:ascii="宋体" w:hAnsi="宋体"/>
              </w:rPr>
            </w:pPr>
            <w:r>
              <w:rPr>
                <w:rFonts w:hint="eastAsia" w:ascii="宋体" w:hAnsi="宋体"/>
              </w:rPr>
              <w:t>（Linux、Windows）</w:t>
            </w:r>
          </w:p>
        </w:tc>
        <w:tc>
          <w:tcPr>
            <w:tcW w:w="1748" w:type="dxa"/>
            <w:vAlign w:val="center"/>
          </w:tcPr>
          <w:p>
            <w:pPr>
              <w:tabs>
                <w:tab w:val="left" w:pos="425"/>
                <w:tab w:val="left" w:pos="964"/>
              </w:tabs>
              <w:jc w:val="center"/>
              <w:rPr>
                <w:rFonts w:ascii="宋体" w:hAnsi="宋体"/>
              </w:rPr>
            </w:pPr>
            <w:r>
              <w:rPr>
                <w:rFonts w:ascii="宋体" w:hAnsi="宋体"/>
              </w:rPr>
              <w:t>1</w:t>
            </w:r>
          </w:p>
        </w:tc>
        <w:tc>
          <w:tcPr>
            <w:tcW w:w="3489" w:type="dxa"/>
          </w:tcPr>
          <w:p>
            <w:pPr>
              <w:numPr>
                <w:ilvl w:val="0"/>
                <w:numId w:val="6"/>
              </w:numPr>
              <w:tabs>
                <w:tab w:val="left" w:pos="425"/>
                <w:tab w:val="left" w:pos="964"/>
              </w:tabs>
              <w:rPr>
                <w:rFonts w:ascii="宋体" w:hAnsi="宋体"/>
              </w:rPr>
            </w:pPr>
            <w:r>
              <w:rPr>
                <w:rFonts w:hint="eastAsia" w:ascii="宋体" w:hAnsi="宋体"/>
              </w:rPr>
              <w:t>提供操作系统安装、升级支持</w:t>
            </w:r>
          </w:p>
          <w:p>
            <w:pPr>
              <w:numPr>
                <w:ilvl w:val="0"/>
                <w:numId w:val="6"/>
              </w:numPr>
              <w:tabs>
                <w:tab w:val="left" w:pos="425"/>
                <w:tab w:val="left" w:pos="964"/>
              </w:tabs>
              <w:rPr>
                <w:rFonts w:ascii="宋体" w:hAnsi="宋体"/>
              </w:rPr>
            </w:pPr>
            <w:r>
              <w:rPr>
                <w:rFonts w:hint="eastAsia" w:ascii="宋体" w:hAnsi="宋体"/>
              </w:rPr>
              <w:t>提供操作系统补丁升级。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tabs>
                <w:tab w:val="left" w:pos="425"/>
                <w:tab w:val="left" w:pos="964"/>
              </w:tabs>
              <w:spacing w:line="440" w:lineRule="exact"/>
              <w:jc w:val="center"/>
              <w:rPr>
                <w:rFonts w:ascii="宋体" w:hAnsi="宋体" w:cs="宋体"/>
                <w:color w:val="000000"/>
                <w:szCs w:val="21"/>
              </w:rPr>
            </w:pPr>
            <w:r>
              <w:rPr>
                <w:rFonts w:ascii="宋体" w:hAnsi="宋体" w:cs="宋体"/>
                <w:color w:val="000000"/>
                <w:szCs w:val="21"/>
              </w:rPr>
              <w:t>11</w:t>
            </w:r>
          </w:p>
        </w:tc>
        <w:tc>
          <w:tcPr>
            <w:tcW w:w="2683" w:type="dxa"/>
            <w:vAlign w:val="center"/>
          </w:tcPr>
          <w:p>
            <w:pPr>
              <w:tabs>
                <w:tab w:val="left" w:pos="425"/>
                <w:tab w:val="left" w:pos="964"/>
              </w:tabs>
              <w:jc w:val="center"/>
              <w:rPr>
                <w:rFonts w:ascii="宋体" w:hAnsi="宋体"/>
              </w:rPr>
            </w:pPr>
            <w:r>
              <w:rPr>
                <w:rFonts w:hint="eastAsia" w:ascii="宋体" w:hAnsi="宋体"/>
              </w:rPr>
              <w:t>ISILON软件支持</w:t>
            </w:r>
          </w:p>
        </w:tc>
        <w:tc>
          <w:tcPr>
            <w:tcW w:w="1748" w:type="dxa"/>
            <w:vAlign w:val="center"/>
          </w:tcPr>
          <w:p>
            <w:pPr>
              <w:tabs>
                <w:tab w:val="left" w:pos="425"/>
                <w:tab w:val="left" w:pos="964"/>
              </w:tabs>
              <w:jc w:val="center"/>
              <w:rPr>
                <w:rFonts w:ascii="宋体" w:hAnsi="宋体"/>
              </w:rPr>
            </w:pPr>
            <w:r>
              <w:rPr>
                <w:rFonts w:hint="eastAsia" w:ascii="宋体" w:hAnsi="宋体"/>
              </w:rPr>
              <w:t>1</w:t>
            </w:r>
          </w:p>
        </w:tc>
        <w:tc>
          <w:tcPr>
            <w:tcW w:w="3489" w:type="dxa"/>
          </w:tcPr>
          <w:p>
            <w:pPr>
              <w:numPr>
                <w:ilvl w:val="0"/>
                <w:numId w:val="7"/>
              </w:numPr>
              <w:tabs>
                <w:tab w:val="left" w:pos="425"/>
                <w:tab w:val="left" w:pos="964"/>
              </w:tabs>
              <w:rPr>
                <w:rFonts w:ascii="宋体" w:hAnsi="宋体"/>
              </w:rPr>
            </w:pPr>
            <w:r>
              <w:rPr>
                <w:rFonts w:hint="eastAsia" w:ascii="宋体" w:hAnsi="宋体"/>
              </w:rPr>
              <w:t>提供ISILON软件支持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91" w:type="dxa"/>
            <w:gridSpan w:val="4"/>
            <w:vAlign w:val="center"/>
          </w:tcPr>
          <w:p>
            <w:pPr>
              <w:tabs>
                <w:tab w:val="left" w:pos="425"/>
                <w:tab w:val="left" w:pos="964"/>
              </w:tabs>
              <w:spacing w:line="440" w:lineRule="exact"/>
              <w:jc w:val="left"/>
              <w:rPr>
                <w:rFonts w:ascii="宋体" w:hAnsi="宋体" w:cs="宋体"/>
                <w:color w:val="000000"/>
                <w:szCs w:val="21"/>
              </w:rPr>
            </w:pPr>
            <w:r>
              <w:rPr>
                <w:rFonts w:hint="eastAsia" w:ascii="宋体" w:hAnsi="宋体"/>
              </w:rPr>
              <w:t>注：本项目维护服务范围包括采购人信息系统机房内的所有服务器、存储及软件系统支持，包含且不限于以上清单；</w:t>
            </w:r>
          </w:p>
        </w:tc>
      </w:tr>
    </w:tbl>
    <w:p/>
    <w:p>
      <w:pPr>
        <w:spacing w:line="360" w:lineRule="auto"/>
        <w:outlineLvl w:val="0"/>
        <w:rPr>
          <w:rFonts w:ascii="宋体" w:hAnsi="宋体" w:cs="宋体"/>
          <w:b/>
          <w:bCs/>
          <w:color w:val="000000"/>
        </w:rPr>
      </w:pPr>
      <w:r>
        <w:rPr>
          <w:rFonts w:hint="eastAsia" w:ascii="宋体" w:hAnsi="宋体" w:cs="宋体"/>
          <w:b/>
          <w:bCs/>
          <w:color w:val="000000"/>
        </w:rPr>
        <w:t>二、</w:t>
      </w:r>
      <w:r>
        <w:rPr>
          <w:rFonts w:ascii="宋体" w:hAnsi="宋体" w:cs="宋体"/>
          <w:b/>
          <w:bCs/>
          <w:color w:val="000000"/>
        </w:rPr>
        <w:t>维保</w:t>
      </w:r>
      <w:r>
        <w:rPr>
          <w:rFonts w:hint="eastAsia" w:ascii="宋体" w:hAnsi="宋体" w:cs="宋体"/>
          <w:b/>
          <w:bCs/>
          <w:color w:val="000000"/>
        </w:rPr>
        <w:t>服务内容：</w:t>
      </w:r>
    </w:p>
    <w:p>
      <w:pPr>
        <w:spacing w:line="360" w:lineRule="auto"/>
        <w:ind w:firstLine="310" w:firstLineChars="147"/>
        <w:outlineLvl w:val="0"/>
        <w:rPr>
          <w:rFonts w:ascii="宋体" w:hAnsi="宋体" w:cs="宋体"/>
          <w:b/>
          <w:bCs/>
          <w:color w:val="000000"/>
        </w:rPr>
      </w:pPr>
      <w:r>
        <w:rPr>
          <w:rFonts w:hint="eastAsia" w:ascii="宋体" w:hAnsi="宋体" w:cs="宋体"/>
          <w:b/>
          <w:bCs/>
          <w:color w:val="000000"/>
          <w:lang w:bidi="zh-CN"/>
        </w:rPr>
        <w:t>（-）机房重要设施维保服务</w:t>
      </w:r>
    </w:p>
    <w:p>
      <w:pPr>
        <w:numPr>
          <w:ilvl w:val="0"/>
          <w:numId w:val="8"/>
        </w:numPr>
        <w:spacing w:line="360" w:lineRule="auto"/>
        <w:outlineLvl w:val="0"/>
        <w:rPr>
          <w:rFonts w:ascii="宋体" w:hAnsi="宋体" w:cs="宋体"/>
          <w:b/>
          <w:bCs/>
          <w:color w:val="000000"/>
        </w:rPr>
      </w:pPr>
      <w:r>
        <w:rPr>
          <w:rFonts w:hint="eastAsia" w:ascii="宋体" w:hAnsi="宋体" w:cs="宋体"/>
          <w:b/>
          <w:bCs/>
          <w:color w:val="000000"/>
        </w:rPr>
        <w:t>服务要求</w:t>
      </w:r>
    </w:p>
    <w:p>
      <w:pPr>
        <w:tabs>
          <w:tab w:val="left" w:pos="1338"/>
          <w:tab w:val="left" w:pos="9214"/>
        </w:tabs>
        <w:autoSpaceDE w:val="0"/>
        <w:autoSpaceDN w:val="0"/>
        <w:spacing w:line="360" w:lineRule="auto"/>
        <w:ind w:left="281" w:leftChars="134" w:right="259"/>
        <w:jc w:val="left"/>
        <w:rPr>
          <w:rFonts w:ascii="宋体" w:hAnsi="宋体"/>
        </w:rPr>
      </w:pPr>
      <w:r>
        <w:rPr>
          <w:rFonts w:hint="eastAsia" w:ascii="宋体" w:hAnsi="宋体"/>
        </w:rPr>
        <w:t xml:space="preserve">1.1 </w:t>
      </w:r>
      <w:r>
        <w:rPr>
          <w:rFonts w:ascii="宋体" w:hAnsi="宋体"/>
        </w:rPr>
        <w:t>远程响应要求：中标人安排有经验的工程师值班，响应采购人要求，并列出电话号码及支持邮箱，提供7*24小时值班电话响应及邮件响应。保证服务时间内，95%以上的值班电话呼叫接通时间小于30秒；并确保在10分钟内回复， 30分钟内故障未修复则升级为现场支持服务。</w:t>
      </w:r>
    </w:p>
    <w:p>
      <w:pPr>
        <w:tabs>
          <w:tab w:val="left" w:pos="1338"/>
        </w:tabs>
        <w:autoSpaceDE w:val="0"/>
        <w:autoSpaceDN w:val="0"/>
        <w:spacing w:line="360" w:lineRule="auto"/>
        <w:ind w:right="1403" w:firstLine="315" w:firstLineChars="150"/>
        <w:rPr>
          <w:rFonts w:ascii="宋体" w:hAnsi="宋体"/>
        </w:rPr>
      </w:pPr>
      <w:r>
        <w:rPr>
          <w:rFonts w:hint="eastAsia" w:ascii="宋体" w:hAnsi="宋体"/>
        </w:rPr>
        <w:t>1.2 现场支持要求：</w:t>
      </w:r>
    </w:p>
    <w:p>
      <w:pPr>
        <w:numPr>
          <w:ilvl w:val="0"/>
          <w:numId w:val="9"/>
        </w:numPr>
        <w:tabs>
          <w:tab w:val="left" w:pos="1203"/>
        </w:tabs>
        <w:autoSpaceDE w:val="0"/>
        <w:autoSpaceDN w:val="0"/>
        <w:spacing w:line="360" w:lineRule="auto"/>
        <w:ind w:right="258" w:rightChars="123" w:hanging="423"/>
        <w:rPr>
          <w:rFonts w:ascii="宋体" w:hAnsi="宋体"/>
        </w:rPr>
      </w:pPr>
      <w:r>
        <w:rPr>
          <w:rFonts w:ascii="宋体" w:hAnsi="宋体"/>
        </w:rPr>
        <w:t>提供现场损坏件更换服务，对于明确故障的设备硬件投标人应承诺4小时内将备件送抵采购人指定机房。</w:t>
      </w:r>
    </w:p>
    <w:p>
      <w:pPr>
        <w:numPr>
          <w:ilvl w:val="0"/>
          <w:numId w:val="9"/>
        </w:numPr>
        <w:tabs>
          <w:tab w:val="left" w:pos="1203"/>
        </w:tabs>
        <w:autoSpaceDE w:val="0"/>
        <w:autoSpaceDN w:val="0"/>
        <w:spacing w:line="360" w:lineRule="auto"/>
        <w:ind w:hanging="423"/>
        <w:rPr>
          <w:rFonts w:ascii="宋体" w:hAnsi="宋体"/>
        </w:rPr>
      </w:pPr>
      <w:r>
        <w:rPr>
          <w:rFonts w:ascii="宋体" w:hAnsi="宋体"/>
        </w:rPr>
        <w:t>提供7*24小时人员支持服务，2小时到达现场。</w:t>
      </w:r>
    </w:p>
    <w:p>
      <w:pPr>
        <w:tabs>
          <w:tab w:val="left" w:pos="1338"/>
          <w:tab w:val="left" w:pos="9214"/>
        </w:tabs>
        <w:autoSpaceDE w:val="0"/>
        <w:autoSpaceDN w:val="0"/>
        <w:spacing w:line="360" w:lineRule="auto"/>
        <w:ind w:right="117" w:firstLine="315" w:firstLineChars="150"/>
        <w:jc w:val="left"/>
        <w:rPr>
          <w:rFonts w:ascii="宋体" w:hAnsi="宋体"/>
        </w:rPr>
      </w:pPr>
      <w:r>
        <w:rPr>
          <w:rFonts w:hint="eastAsia" w:ascii="宋体" w:hAnsi="宋体"/>
        </w:rPr>
        <w:t xml:space="preserve">1.3 </w:t>
      </w:r>
      <w:r>
        <w:rPr>
          <w:rFonts w:ascii="宋体" w:hAnsi="宋体"/>
        </w:rPr>
        <w:t>现场设备检查服务：中标人每周至少提供≥4人次的设备现场巡检服务，对采购人设备进行细致全面的健康检查，检查的内容包括软件、硬件检查，电源、告警及设备运行环境的检查等。现场进行环境评估与指导。</w:t>
      </w:r>
    </w:p>
    <w:p>
      <w:pPr>
        <w:tabs>
          <w:tab w:val="left" w:pos="1338"/>
          <w:tab w:val="left" w:pos="9356"/>
          <w:tab w:val="left" w:pos="9473"/>
        </w:tabs>
        <w:autoSpaceDE w:val="0"/>
        <w:autoSpaceDN w:val="0"/>
        <w:spacing w:line="360" w:lineRule="auto"/>
        <w:ind w:right="401" w:firstLine="315" w:firstLineChars="150"/>
        <w:jc w:val="left"/>
        <w:rPr>
          <w:rFonts w:ascii="宋体" w:hAnsi="宋体"/>
        </w:rPr>
      </w:pPr>
      <w:r>
        <w:rPr>
          <w:rFonts w:hint="eastAsia" w:ascii="宋体" w:hAnsi="宋体"/>
        </w:rPr>
        <w:t>1.4 中</w:t>
      </w:r>
      <w:r>
        <w:rPr>
          <w:rFonts w:ascii="宋体" w:hAnsi="宋体"/>
        </w:rPr>
        <w:t>标人完成现场设备巡检后需配合采购人工程师填写设备巡检记录表，并由双方签字。</w:t>
      </w:r>
    </w:p>
    <w:p>
      <w:pPr>
        <w:tabs>
          <w:tab w:val="left" w:pos="1338"/>
        </w:tabs>
        <w:autoSpaceDE w:val="0"/>
        <w:autoSpaceDN w:val="0"/>
        <w:spacing w:line="360" w:lineRule="auto"/>
        <w:ind w:right="-25" w:firstLine="315" w:firstLineChars="150"/>
        <w:jc w:val="left"/>
        <w:rPr>
          <w:rFonts w:ascii="宋体" w:hAnsi="宋体"/>
        </w:rPr>
      </w:pPr>
      <w:r>
        <w:rPr>
          <w:rFonts w:hint="eastAsia" w:ascii="宋体" w:hAnsi="宋体"/>
        </w:rPr>
        <w:t xml:space="preserve">1.5 </w:t>
      </w:r>
      <w:r>
        <w:rPr>
          <w:rFonts w:ascii="宋体" w:hAnsi="宋体"/>
        </w:rPr>
        <w:t>中标人在设备巡检完成后2个工作日内，提交设备巡检报告（报告模版由采购人提供），并提供整改方案， 采购人可以根据需要要求中标人增加或修改设备巡检内容。</w:t>
      </w:r>
    </w:p>
    <w:p>
      <w:pPr>
        <w:tabs>
          <w:tab w:val="left" w:pos="1338"/>
        </w:tabs>
        <w:autoSpaceDE w:val="0"/>
        <w:autoSpaceDN w:val="0"/>
        <w:spacing w:line="360" w:lineRule="auto"/>
        <w:ind w:right="117" w:firstLine="315" w:firstLineChars="150"/>
        <w:jc w:val="left"/>
        <w:rPr>
          <w:rFonts w:ascii="宋体" w:hAnsi="宋体"/>
        </w:rPr>
      </w:pPr>
      <w:r>
        <w:rPr>
          <w:rFonts w:hint="eastAsia" w:ascii="宋体" w:hAnsi="宋体"/>
        </w:rPr>
        <w:t xml:space="preserve">1.6 </w:t>
      </w:r>
      <w:r>
        <w:rPr>
          <w:rFonts w:ascii="宋体" w:hAnsi="宋体"/>
        </w:rPr>
        <w:t>中标人需为采购人建立设备维修档案，并根据设备运行情况向采购人提供设备升级、改造、更换的建议和方案。在设备巡检过程中中标人还应对采购人工程师进行现场培训。</w:t>
      </w:r>
    </w:p>
    <w:p>
      <w:pPr>
        <w:tabs>
          <w:tab w:val="left" w:pos="1338"/>
        </w:tabs>
        <w:autoSpaceDE w:val="0"/>
        <w:autoSpaceDN w:val="0"/>
        <w:spacing w:line="360" w:lineRule="auto"/>
        <w:ind w:right="-25" w:firstLine="315" w:firstLineChars="150"/>
        <w:rPr>
          <w:rFonts w:ascii="宋体" w:hAnsi="宋体"/>
        </w:rPr>
      </w:pPr>
      <w:r>
        <w:rPr>
          <w:rFonts w:hint="eastAsia" w:ascii="宋体" w:hAnsi="宋体"/>
        </w:rPr>
        <w:t xml:space="preserve">1.7 </w:t>
      </w:r>
      <w:r>
        <w:rPr>
          <w:rFonts w:ascii="宋体" w:hAnsi="宋体"/>
        </w:rPr>
        <w:t>现场服务工程师具有二年以上类似维护经验，并提供相应材料（巡检报告、服务记录、安装报告、故障处理报告、监理材料等）。</w:t>
      </w:r>
    </w:p>
    <w:p>
      <w:pPr>
        <w:numPr>
          <w:ilvl w:val="0"/>
          <w:numId w:val="8"/>
        </w:numPr>
        <w:spacing w:line="360" w:lineRule="auto"/>
        <w:outlineLvl w:val="0"/>
        <w:rPr>
          <w:rFonts w:ascii="宋体" w:hAnsi="宋体" w:cs="宋体"/>
          <w:b/>
          <w:bCs/>
          <w:color w:val="000000"/>
        </w:rPr>
      </w:pPr>
      <w:r>
        <w:rPr>
          <w:rFonts w:hint="eastAsia" w:ascii="宋体" w:hAnsi="宋体" w:cs="宋体"/>
          <w:b/>
          <w:bCs/>
          <w:color w:val="000000"/>
        </w:rPr>
        <w:t>服务体系要求</w:t>
      </w:r>
    </w:p>
    <w:p>
      <w:pPr>
        <w:autoSpaceDE w:val="0"/>
        <w:autoSpaceDN w:val="0"/>
        <w:spacing w:line="360" w:lineRule="auto"/>
        <w:ind w:left="109" w:right="-25" w:firstLine="335"/>
        <w:jc w:val="left"/>
        <w:rPr>
          <w:rFonts w:ascii="宋体" w:hAnsi="宋体"/>
        </w:rPr>
      </w:pPr>
      <w:r>
        <w:rPr>
          <w:rFonts w:ascii="宋体" w:hAnsi="宋体"/>
        </w:rPr>
        <w:t>投标人应提供服务方案说明其具备专业的支持服务管理机构，管理流程和服务保障体系，具有专业的服务响应，能够7*24小时响应采购人的服务请求，并具有流程化的管理处理能力。</w:t>
      </w:r>
    </w:p>
    <w:p>
      <w:pPr>
        <w:autoSpaceDE w:val="0"/>
        <w:autoSpaceDN w:val="0"/>
        <w:spacing w:line="360" w:lineRule="auto"/>
        <w:ind w:left="403"/>
        <w:jc w:val="left"/>
        <w:rPr>
          <w:rFonts w:ascii="宋体" w:hAnsi="宋体"/>
        </w:rPr>
      </w:pPr>
      <w:r>
        <w:rPr>
          <w:rFonts w:ascii="宋体" w:hAnsi="宋体"/>
        </w:rPr>
        <w:t>服务指标定义：</w:t>
      </w:r>
    </w:p>
    <w:p>
      <w:pPr>
        <w:numPr>
          <w:ilvl w:val="0"/>
          <w:numId w:val="10"/>
        </w:numPr>
        <w:tabs>
          <w:tab w:val="left" w:pos="867"/>
        </w:tabs>
        <w:autoSpaceDE w:val="0"/>
        <w:autoSpaceDN w:val="0"/>
        <w:spacing w:line="360" w:lineRule="auto"/>
        <w:rPr>
          <w:rFonts w:ascii="宋体" w:hAnsi="宋体"/>
        </w:rPr>
      </w:pPr>
      <w:r>
        <w:rPr>
          <w:rFonts w:ascii="宋体" w:hAnsi="宋体"/>
        </w:rPr>
        <w:t>请求受理时间：中标人接受采购人服务申请的时间；</w:t>
      </w:r>
    </w:p>
    <w:p>
      <w:pPr>
        <w:numPr>
          <w:ilvl w:val="0"/>
          <w:numId w:val="10"/>
        </w:numPr>
        <w:tabs>
          <w:tab w:val="left" w:pos="867"/>
        </w:tabs>
        <w:autoSpaceDE w:val="0"/>
        <w:autoSpaceDN w:val="0"/>
        <w:spacing w:line="360" w:lineRule="auto"/>
        <w:rPr>
          <w:rFonts w:ascii="宋体" w:hAnsi="宋体"/>
        </w:rPr>
      </w:pPr>
      <w:r>
        <w:rPr>
          <w:rFonts w:ascii="宋体" w:hAnsi="宋体"/>
        </w:rPr>
        <w:t>现场支持响应时间：从中标人受理时间开始计算；</w:t>
      </w:r>
    </w:p>
    <w:p>
      <w:pPr>
        <w:numPr>
          <w:ilvl w:val="0"/>
          <w:numId w:val="10"/>
        </w:numPr>
        <w:tabs>
          <w:tab w:val="left" w:pos="867"/>
        </w:tabs>
        <w:autoSpaceDE w:val="0"/>
        <w:autoSpaceDN w:val="0"/>
        <w:spacing w:line="360" w:lineRule="auto"/>
        <w:rPr>
          <w:rFonts w:ascii="宋体" w:hAnsi="宋体"/>
        </w:rPr>
      </w:pPr>
      <w:r>
        <w:rPr>
          <w:rFonts w:ascii="宋体" w:hAnsi="宋体"/>
        </w:rPr>
        <w:t>业务恢复时间：从中标人到达采购人现场，到提供的（临时）解决方案达到使系统、业务恢复运行目的的时间；</w:t>
      </w:r>
    </w:p>
    <w:p>
      <w:pPr>
        <w:numPr>
          <w:ilvl w:val="0"/>
          <w:numId w:val="10"/>
        </w:numPr>
        <w:tabs>
          <w:tab w:val="left" w:pos="867"/>
        </w:tabs>
        <w:autoSpaceDE w:val="0"/>
        <w:autoSpaceDN w:val="0"/>
        <w:spacing w:line="360" w:lineRule="auto"/>
        <w:rPr>
          <w:rFonts w:ascii="宋体" w:hAnsi="宋体"/>
        </w:rPr>
      </w:pPr>
      <w:r>
        <w:rPr>
          <w:rFonts w:ascii="宋体" w:hAnsi="宋体"/>
        </w:rPr>
        <w:t>请求处理汇报时间：从中标人接受服务请求，到将故障汇报至采购人维护管理部门的时间；</w:t>
      </w:r>
    </w:p>
    <w:p>
      <w:pPr>
        <w:numPr>
          <w:ilvl w:val="0"/>
          <w:numId w:val="10"/>
        </w:numPr>
        <w:tabs>
          <w:tab w:val="left" w:pos="867"/>
        </w:tabs>
        <w:autoSpaceDE w:val="0"/>
        <w:autoSpaceDN w:val="0"/>
        <w:spacing w:line="360" w:lineRule="auto"/>
        <w:rPr>
          <w:rFonts w:ascii="宋体" w:hAnsi="宋体"/>
        </w:rPr>
      </w:pPr>
      <w:r>
        <w:rPr>
          <w:rFonts w:ascii="宋体" w:hAnsi="宋体"/>
        </w:rPr>
        <w:t>各类故障处理完成后，需在2个工作日内提供故障报告到当地系统维护管理部门。</w:t>
      </w:r>
    </w:p>
    <w:p>
      <w:pPr>
        <w:numPr>
          <w:ilvl w:val="0"/>
          <w:numId w:val="8"/>
        </w:numPr>
        <w:spacing w:line="360" w:lineRule="auto"/>
        <w:outlineLvl w:val="0"/>
        <w:rPr>
          <w:rFonts w:ascii="宋体" w:hAnsi="宋体" w:cs="宋体"/>
          <w:b/>
          <w:bCs/>
          <w:color w:val="000000"/>
        </w:rPr>
      </w:pPr>
      <w:r>
        <w:rPr>
          <w:rFonts w:hint="eastAsia" w:ascii="宋体" w:hAnsi="宋体" w:cs="宋体"/>
          <w:b/>
          <w:bCs/>
          <w:color w:val="000000"/>
        </w:rPr>
        <w:t>培训服务</w:t>
      </w:r>
    </w:p>
    <w:p>
      <w:pPr>
        <w:autoSpaceDE w:val="0"/>
        <w:autoSpaceDN w:val="0"/>
        <w:spacing w:line="360" w:lineRule="auto"/>
        <w:ind w:left="109" w:right="-25" w:firstLine="335"/>
        <w:rPr>
          <w:rFonts w:ascii="宋体" w:hAnsi="宋体"/>
        </w:rPr>
      </w:pPr>
      <w:r>
        <w:rPr>
          <w:rFonts w:ascii="宋体" w:hAnsi="宋体"/>
        </w:rPr>
        <w:t>培训服务是指根据设备维护的需要，中标人为采购人提供的设备技术培训。培训包括两类，集中培训和现场培训。集 中培训是指由中标人提供教材、教师、场地和所需实验设备，为采购人提供的培训，一般集中安排在中标人培训中心进行。 现场培训是指经双方协商，在巡检、现场服务等过程中进行的培训，中标人提供教材和教师，采购人提供场地和必要的培训设施。</w:t>
      </w:r>
    </w:p>
    <w:p>
      <w:pPr>
        <w:tabs>
          <w:tab w:val="left" w:pos="1338"/>
        </w:tabs>
        <w:autoSpaceDE w:val="0"/>
        <w:autoSpaceDN w:val="0"/>
        <w:spacing w:line="360" w:lineRule="auto"/>
        <w:ind w:firstLine="420" w:firstLineChars="200"/>
        <w:jc w:val="left"/>
        <w:rPr>
          <w:rFonts w:ascii="宋体" w:hAnsi="宋体"/>
        </w:rPr>
      </w:pPr>
      <w:r>
        <w:rPr>
          <w:rFonts w:hint="eastAsia" w:ascii="宋体" w:hAnsi="宋体"/>
        </w:rPr>
        <w:t xml:space="preserve">3.1 </w:t>
      </w:r>
      <w:r>
        <w:rPr>
          <w:rFonts w:ascii="宋体" w:hAnsi="宋体"/>
        </w:rPr>
        <w:t>服务要求</w:t>
      </w:r>
    </w:p>
    <w:p>
      <w:pPr>
        <w:numPr>
          <w:ilvl w:val="0"/>
          <w:numId w:val="11"/>
        </w:numPr>
        <w:tabs>
          <w:tab w:val="left" w:pos="1203"/>
        </w:tabs>
        <w:autoSpaceDE w:val="0"/>
        <w:autoSpaceDN w:val="0"/>
        <w:spacing w:before="1" w:line="360" w:lineRule="auto"/>
        <w:ind w:hanging="423"/>
        <w:rPr>
          <w:rFonts w:ascii="宋体" w:hAnsi="宋体"/>
        </w:rPr>
      </w:pPr>
      <w:r>
        <w:rPr>
          <w:rFonts w:ascii="宋体" w:hAnsi="宋体"/>
        </w:rPr>
        <w:t>为了符合采购人的实际情况，做到有的放矢，具体培训课程由采购人和中标人协商确定；</w:t>
      </w:r>
    </w:p>
    <w:p>
      <w:pPr>
        <w:numPr>
          <w:ilvl w:val="0"/>
          <w:numId w:val="11"/>
        </w:numPr>
        <w:tabs>
          <w:tab w:val="left" w:pos="1203"/>
        </w:tabs>
        <w:autoSpaceDE w:val="0"/>
        <w:autoSpaceDN w:val="0"/>
        <w:spacing w:line="360" w:lineRule="auto"/>
        <w:ind w:left="109" w:right="-25" w:firstLine="671"/>
        <w:rPr>
          <w:rFonts w:ascii="宋体" w:hAnsi="宋体"/>
        </w:rPr>
      </w:pPr>
      <w:r>
        <w:rPr>
          <w:rFonts w:ascii="宋体" w:hAnsi="宋体"/>
        </w:rPr>
        <w:t>对于现场培训，可根据采购人要求，中标人有义务就现场服务中故障发生的原因、处理过程、以及类似故障的预防和处理过程等对采购人维护人员提供必要的现场培训。</w:t>
      </w:r>
    </w:p>
    <w:p>
      <w:pPr>
        <w:numPr>
          <w:ilvl w:val="0"/>
          <w:numId w:val="8"/>
        </w:numPr>
        <w:spacing w:line="360" w:lineRule="auto"/>
        <w:outlineLvl w:val="0"/>
        <w:rPr>
          <w:rFonts w:ascii="宋体" w:hAnsi="宋体" w:cs="宋体"/>
          <w:b/>
          <w:bCs/>
          <w:color w:val="000000"/>
        </w:rPr>
      </w:pPr>
      <w:r>
        <w:rPr>
          <w:rFonts w:hint="eastAsia" w:ascii="宋体" w:hAnsi="宋体" w:cs="宋体"/>
          <w:b/>
          <w:bCs/>
          <w:color w:val="000000"/>
          <w:lang w:bidi="zh-CN"/>
        </w:rPr>
        <w:t>文档管理和信息支持服</w:t>
      </w:r>
      <w:r>
        <w:rPr>
          <w:rFonts w:hint="eastAsia" w:ascii="宋体" w:hAnsi="宋体" w:cs="宋体"/>
          <w:b/>
          <w:bCs/>
          <w:color w:val="000000"/>
        </w:rPr>
        <w:t>务</w:t>
      </w:r>
    </w:p>
    <w:p>
      <w:pPr>
        <w:autoSpaceDE w:val="0"/>
        <w:autoSpaceDN w:val="0"/>
        <w:spacing w:line="360" w:lineRule="auto"/>
        <w:ind w:firstLine="525" w:firstLineChars="250"/>
        <w:jc w:val="left"/>
        <w:rPr>
          <w:rFonts w:ascii="宋体" w:hAnsi="宋体"/>
        </w:rPr>
      </w:pPr>
      <w:r>
        <w:rPr>
          <w:rFonts w:hint="eastAsia" w:ascii="宋体" w:hAnsi="宋体"/>
        </w:rPr>
        <w:t xml:space="preserve">4.1 </w:t>
      </w:r>
      <w:r>
        <w:rPr>
          <w:rFonts w:ascii="宋体" w:hAnsi="宋体"/>
        </w:rPr>
        <w:t>支持服务回顾服务：中标人每月对检查系统软件和硬件服务的有关记录进行分析和总结，同时将结果反馈给采购人。要求每月提供一份相关报告</w:t>
      </w:r>
      <w:r>
        <w:rPr>
          <w:rFonts w:hint="eastAsia" w:ascii="宋体" w:hAnsi="宋体"/>
        </w:rPr>
        <w:t>。</w:t>
      </w:r>
    </w:p>
    <w:p>
      <w:pPr>
        <w:autoSpaceDE w:val="0"/>
        <w:autoSpaceDN w:val="0"/>
        <w:spacing w:line="360" w:lineRule="auto"/>
        <w:ind w:firstLine="525" w:firstLineChars="250"/>
        <w:jc w:val="left"/>
        <w:rPr>
          <w:rFonts w:ascii="宋体" w:hAnsi="宋体"/>
        </w:rPr>
      </w:pPr>
      <w:r>
        <w:rPr>
          <w:rFonts w:hint="eastAsia" w:ascii="宋体" w:hAnsi="宋体"/>
        </w:rPr>
        <w:t xml:space="preserve">4.2 </w:t>
      </w:r>
      <w:r>
        <w:rPr>
          <w:rFonts w:ascii="宋体" w:hAnsi="宋体"/>
        </w:rPr>
        <w:t>文档管理服务：中标人工程师第一次到现场巡检时，要对所负责维护的设备详细配置清单、所使用的操作系统、版本号、系统的使用情况及系统的配置参数。建立和完善主机系统的技术档案，同时对用户系统提供相应技术支持的电子文档。</w:t>
      </w:r>
    </w:p>
    <w:p>
      <w:pPr>
        <w:numPr>
          <w:ilvl w:val="0"/>
          <w:numId w:val="8"/>
        </w:numPr>
        <w:spacing w:line="360" w:lineRule="auto"/>
        <w:outlineLvl w:val="0"/>
        <w:rPr>
          <w:rFonts w:ascii="宋体" w:hAnsi="宋体" w:cs="宋体"/>
          <w:b/>
          <w:bCs/>
          <w:color w:val="000000"/>
        </w:rPr>
      </w:pPr>
      <w:r>
        <w:rPr>
          <w:rFonts w:hint="eastAsia" w:ascii="宋体" w:hAnsi="宋体" w:cs="宋体"/>
          <w:b/>
          <w:bCs/>
          <w:color w:val="000000"/>
          <w:lang w:bidi="zh-CN"/>
        </w:rPr>
        <w:t>质量管理</w:t>
      </w:r>
    </w:p>
    <w:p>
      <w:pPr>
        <w:tabs>
          <w:tab w:val="left" w:pos="1338"/>
        </w:tabs>
        <w:autoSpaceDE w:val="0"/>
        <w:autoSpaceDN w:val="0"/>
        <w:spacing w:line="360" w:lineRule="auto"/>
        <w:ind w:firstLine="525" w:firstLineChars="250"/>
        <w:jc w:val="left"/>
        <w:rPr>
          <w:rFonts w:ascii="宋体" w:hAnsi="宋体"/>
        </w:rPr>
      </w:pPr>
      <w:r>
        <w:rPr>
          <w:rFonts w:hint="eastAsia" w:ascii="宋体" w:hAnsi="宋体"/>
        </w:rPr>
        <w:t xml:space="preserve">5.1 </w:t>
      </w:r>
      <w:r>
        <w:rPr>
          <w:rFonts w:ascii="宋体" w:hAnsi="宋体"/>
        </w:rPr>
        <w:t>服务队伍</w:t>
      </w:r>
    </w:p>
    <w:p>
      <w:pPr>
        <w:numPr>
          <w:ilvl w:val="0"/>
          <w:numId w:val="12"/>
        </w:numPr>
        <w:tabs>
          <w:tab w:val="left" w:pos="1203"/>
        </w:tabs>
        <w:autoSpaceDE w:val="0"/>
        <w:autoSpaceDN w:val="0"/>
        <w:spacing w:line="360" w:lineRule="auto"/>
        <w:ind w:right="118" w:firstLine="671"/>
        <w:rPr>
          <w:rFonts w:ascii="宋体" w:hAnsi="宋体"/>
        </w:rPr>
      </w:pPr>
      <w:r>
        <w:rPr>
          <w:rFonts w:ascii="宋体" w:hAnsi="宋体"/>
        </w:rPr>
        <w:t>中标人应为采购人配备熟悉采购人系统环境的工程师队伍，该工程师队伍的资质及变更需经采购人认可。该工程师队伍负责完成向采购人要求提供的相关服务。</w:t>
      </w:r>
    </w:p>
    <w:p>
      <w:pPr>
        <w:numPr>
          <w:ilvl w:val="0"/>
          <w:numId w:val="12"/>
        </w:numPr>
        <w:tabs>
          <w:tab w:val="left" w:pos="1203"/>
        </w:tabs>
        <w:autoSpaceDE w:val="0"/>
        <w:autoSpaceDN w:val="0"/>
        <w:spacing w:before="1" w:line="360" w:lineRule="auto"/>
        <w:ind w:right="-24" w:firstLine="671"/>
        <w:rPr>
          <w:rFonts w:ascii="宋体" w:hAnsi="宋体"/>
        </w:rPr>
      </w:pPr>
      <w:r>
        <w:rPr>
          <w:rFonts w:ascii="宋体" w:hAnsi="宋体"/>
        </w:rPr>
        <w:t>中标人应为采购人设立分管采购人所购买技术服务的专职客户服务经理，负责了解采购人需求、制定服务计划、监督服务执行、跟踪并改进服务质量、提交各类服务报告、处理投诉等。</w:t>
      </w:r>
    </w:p>
    <w:p>
      <w:pPr>
        <w:tabs>
          <w:tab w:val="left" w:pos="1338"/>
        </w:tabs>
        <w:autoSpaceDE w:val="0"/>
        <w:autoSpaceDN w:val="0"/>
        <w:spacing w:line="360" w:lineRule="auto"/>
        <w:ind w:right="1077" w:firstLine="525" w:firstLineChars="250"/>
        <w:jc w:val="left"/>
        <w:rPr>
          <w:rFonts w:ascii="宋体" w:hAnsi="宋体"/>
        </w:rPr>
      </w:pPr>
      <w:r>
        <w:rPr>
          <w:rFonts w:hint="eastAsia" w:ascii="宋体" w:hAnsi="宋体"/>
        </w:rPr>
        <w:t xml:space="preserve">5.2 </w:t>
      </w:r>
      <w:r>
        <w:rPr>
          <w:rFonts w:ascii="宋体" w:hAnsi="宋体"/>
        </w:rPr>
        <w:t>服务质量跟踪：采购人如对中标人所指派工程师的服务不满意（包括技术能力、服务态度等），有权通过书面形式提出撤换该工程师的要求，中标人应无条件予以执行。</w:t>
      </w:r>
    </w:p>
    <w:p>
      <w:pPr>
        <w:tabs>
          <w:tab w:val="left" w:pos="1338"/>
        </w:tabs>
        <w:autoSpaceDE w:val="0"/>
        <w:autoSpaceDN w:val="0"/>
        <w:spacing w:line="360" w:lineRule="auto"/>
        <w:ind w:firstLine="420" w:firstLineChars="200"/>
        <w:jc w:val="left"/>
        <w:rPr>
          <w:rFonts w:ascii="宋体" w:hAnsi="宋体"/>
        </w:rPr>
      </w:pPr>
      <w:r>
        <w:rPr>
          <w:rFonts w:hint="eastAsia" w:ascii="宋体" w:hAnsi="宋体"/>
        </w:rPr>
        <w:t xml:space="preserve">5.3 </w:t>
      </w:r>
      <w:r>
        <w:rPr>
          <w:rFonts w:ascii="宋体" w:hAnsi="宋体"/>
        </w:rPr>
        <w:t>服务机构服务要求：投标人中标后应在本地设置相应的服务机构，确保相关服务顺利开展。</w:t>
      </w:r>
    </w:p>
    <w:p>
      <w:pPr>
        <w:spacing w:line="360" w:lineRule="auto"/>
        <w:ind w:left="438"/>
        <w:outlineLvl w:val="0"/>
        <w:rPr>
          <w:rFonts w:ascii="宋体" w:hAnsi="宋体" w:cs="宋体"/>
          <w:b/>
          <w:bCs/>
          <w:color w:val="000000"/>
        </w:rPr>
      </w:pPr>
      <w:r>
        <w:rPr>
          <w:rFonts w:hint="eastAsia" w:ascii="宋体" w:hAnsi="宋体" w:cs="宋体"/>
          <w:b/>
          <w:bCs/>
          <w:color w:val="000000"/>
          <w:lang w:bidi="zh-CN"/>
        </w:rPr>
        <w:t xml:space="preserve">6   </w:t>
      </w:r>
      <w:r>
        <w:rPr>
          <w:rFonts w:ascii="宋体" w:hAnsi="宋体"/>
        </w:rPr>
        <w:t>▲</w:t>
      </w:r>
      <w:r>
        <w:rPr>
          <w:rFonts w:hint="eastAsia" w:ascii="宋体" w:hAnsi="宋体" w:cs="宋体"/>
          <w:b/>
          <w:bCs/>
          <w:color w:val="000000"/>
          <w:lang w:bidi="zh-CN"/>
        </w:rPr>
        <w:t>工程师资质要求</w:t>
      </w:r>
    </w:p>
    <w:p>
      <w:pPr>
        <w:autoSpaceDE w:val="0"/>
        <w:autoSpaceDN w:val="0"/>
        <w:spacing w:line="360" w:lineRule="auto"/>
        <w:ind w:left="109" w:right="118" w:firstLine="671"/>
        <w:jc w:val="left"/>
        <w:rPr>
          <w:rFonts w:ascii="宋体" w:hAnsi="宋体"/>
        </w:rPr>
      </w:pPr>
      <w:r>
        <w:rPr>
          <w:rFonts w:ascii="宋体" w:hAnsi="宋体"/>
        </w:rPr>
        <w:t>中标人须配置至少1名具备EMC和HP高级认证的工程师和1名具备云维存储认证的工程师，并在投标文件中提供资质证书复印件，原件备查。</w:t>
      </w:r>
    </w:p>
    <w:p>
      <w:pPr>
        <w:tabs>
          <w:tab w:val="left" w:pos="860"/>
        </w:tabs>
        <w:autoSpaceDE w:val="0"/>
        <w:autoSpaceDN w:val="0"/>
        <w:spacing w:line="360" w:lineRule="auto"/>
        <w:ind w:firstLine="517" w:firstLineChars="245"/>
        <w:jc w:val="left"/>
        <w:rPr>
          <w:rFonts w:ascii="宋体" w:hAnsi="宋体"/>
        </w:rPr>
      </w:pPr>
      <w:r>
        <w:rPr>
          <w:rFonts w:hint="eastAsia" w:ascii="宋体" w:hAnsi="宋体" w:cs="宋体"/>
          <w:b/>
          <w:bCs/>
          <w:color w:val="000000"/>
          <w:lang w:bidi="zh-CN"/>
        </w:rPr>
        <w:t xml:space="preserve">7  </w:t>
      </w:r>
      <w:r>
        <w:rPr>
          <w:rFonts w:hint="eastAsia" w:ascii="宋体" w:hAnsi="宋体"/>
        </w:rPr>
        <w:t>备件要求：</w:t>
      </w:r>
    </w:p>
    <w:p>
      <w:pPr>
        <w:tabs>
          <w:tab w:val="left" w:pos="1338"/>
        </w:tabs>
        <w:autoSpaceDE w:val="0"/>
        <w:autoSpaceDN w:val="0"/>
        <w:spacing w:line="360" w:lineRule="auto"/>
        <w:ind w:right="118" w:firstLine="525" w:firstLineChars="250"/>
        <w:jc w:val="left"/>
        <w:rPr>
          <w:rFonts w:ascii="宋体" w:hAnsi="宋体"/>
        </w:rPr>
      </w:pPr>
      <w:r>
        <w:rPr>
          <w:rFonts w:hint="eastAsia" w:ascii="宋体" w:hAnsi="宋体"/>
        </w:rPr>
        <w:t xml:space="preserve">7.1 </w:t>
      </w:r>
      <w:r>
        <w:rPr>
          <w:rFonts w:ascii="宋体" w:hAnsi="宋体"/>
        </w:rPr>
        <w:t>在服务期限内，所有服务设备的全部故障件备件的更换费用均包含在维保服务费中，中标人不再向采购人另行收取备件费用。中标人如在合同执行期间无法取得项目内设备所需备件，应及时通知采购人。</w:t>
      </w:r>
    </w:p>
    <w:p>
      <w:pPr>
        <w:tabs>
          <w:tab w:val="left" w:pos="1338"/>
        </w:tabs>
        <w:autoSpaceDE w:val="0"/>
        <w:autoSpaceDN w:val="0"/>
        <w:spacing w:before="1" w:line="360" w:lineRule="auto"/>
        <w:ind w:right="118" w:firstLine="525" w:firstLineChars="250"/>
        <w:jc w:val="left"/>
        <w:rPr>
          <w:rFonts w:ascii="宋体" w:hAnsi="宋体"/>
        </w:rPr>
      </w:pPr>
      <w:r>
        <w:rPr>
          <w:rFonts w:hint="eastAsia" w:ascii="宋体" w:hAnsi="宋体"/>
        </w:rPr>
        <w:t xml:space="preserve">7.2 </w:t>
      </w:r>
      <w:r>
        <w:rPr>
          <w:rFonts w:ascii="宋体" w:hAnsi="宋体"/>
        </w:rPr>
        <w:t>备件应在4小时内送达现场，所有更换的备件均为与原设备或模块的型号相同，或各项性能规格不低于原有设备或模块的原厂备件。</w:t>
      </w:r>
    </w:p>
    <w:p>
      <w:pPr>
        <w:tabs>
          <w:tab w:val="left" w:pos="1338"/>
        </w:tabs>
        <w:autoSpaceDE w:val="0"/>
        <w:autoSpaceDN w:val="0"/>
        <w:spacing w:line="360" w:lineRule="auto"/>
        <w:ind w:right="1077" w:firstLine="525" w:firstLineChars="250"/>
        <w:jc w:val="left"/>
        <w:rPr>
          <w:rFonts w:ascii="宋体" w:hAnsi="宋体"/>
        </w:rPr>
      </w:pPr>
      <w:r>
        <w:rPr>
          <w:rFonts w:hint="eastAsia" w:ascii="宋体" w:hAnsi="宋体"/>
        </w:rPr>
        <w:t xml:space="preserve">7.3 </w:t>
      </w:r>
      <w:r>
        <w:rPr>
          <w:rFonts w:ascii="宋体" w:hAnsi="宋体"/>
        </w:rPr>
        <w:t>中标人应承诺所更换的原厂备件不少于一年的质保期。即：所更换的备件在质保期内若再次出现故障，则应负责更换且不再收取费用。</w:t>
      </w:r>
    </w:p>
    <w:p>
      <w:pPr>
        <w:tabs>
          <w:tab w:val="left" w:pos="1338"/>
        </w:tabs>
        <w:autoSpaceDE w:val="0"/>
        <w:autoSpaceDN w:val="0"/>
        <w:spacing w:before="5" w:line="360" w:lineRule="auto"/>
        <w:ind w:firstLine="525" w:firstLineChars="250"/>
        <w:jc w:val="left"/>
        <w:rPr>
          <w:rFonts w:ascii="宋体" w:hAnsi="宋体"/>
        </w:rPr>
      </w:pPr>
      <w:r>
        <w:rPr>
          <w:rFonts w:hint="eastAsia" w:ascii="宋体" w:hAnsi="宋体"/>
        </w:rPr>
        <w:t xml:space="preserve">7.4 </w:t>
      </w:r>
      <w:r>
        <w:rPr>
          <w:rFonts w:ascii="宋体" w:hAnsi="宋体"/>
        </w:rPr>
        <w:t>在相应故障级别相应时间内，中标人提供不了备机或备件的，采购人有权选用原厂备件，由中标人承担费用。</w:t>
      </w:r>
    </w:p>
    <w:p>
      <w:pPr>
        <w:tabs>
          <w:tab w:val="left" w:pos="1338"/>
        </w:tabs>
        <w:autoSpaceDE w:val="0"/>
        <w:autoSpaceDN w:val="0"/>
        <w:spacing w:before="61" w:line="360" w:lineRule="auto"/>
        <w:ind w:firstLine="525" w:firstLineChars="250"/>
        <w:jc w:val="left"/>
        <w:rPr>
          <w:rFonts w:ascii="宋体" w:hAnsi="宋体"/>
        </w:rPr>
      </w:pPr>
      <w:r>
        <w:rPr>
          <w:rFonts w:hint="eastAsia" w:ascii="宋体" w:hAnsi="宋体"/>
        </w:rPr>
        <w:t xml:space="preserve">7.5 </w:t>
      </w:r>
      <w:r>
        <w:rPr>
          <w:rFonts w:ascii="宋体" w:hAnsi="宋体"/>
        </w:rPr>
        <w:t>投标人承诺中标后在厦门地区提供备用服务器。</w:t>
      </w:r>
    </w:p>
    <w:p>
      <w:pPr>
        <w:tabs>
          <w:tab w:val="left" w:pos="1338"/>
          <w:tab w:val="left" w:pos="9757"/>
        </w:tabs>
        <w:autoSpaceDE w:val="0"/>
        <w:autoSpaceDN w:val="0"/>
        <w:spacing w:line="360" w:lineRule="auto"/>
        <w:ind w:right="-24" w:firstLine="525" w:firstLineChars="250"/>
        <w:jc w:val="left"/>
        <w:rPr>
          <w:rFonts w:ascii="宋体" w:hAnsi="宋体"/>
        </w:rPr>
      </w:pPr>
      <w:r>
        <w:rPr>
          <w:rFonts w:hint="eastAsia" w:ascii="宋体" w:hAnsi="宋体"/>
        </w:rPr>
        <w:t xml:space="preserve">7.6 </w:t>
      </w:r>
      <w:r>
        <w:rPr>
          <w:rFonts w:ascii="宋体" w:hAnsi="宋体"/>
        </w:rPr>
        <w:t>投标人中标后应在厦门地区设备品备件库。备件库的备件不得少于由采购人指定的备件数量和类型。采购人有权利定期检查中标人设置的备件库。</w:t>
      </w:r>
    </w:p>
    <w:p>
      <w:pPr>
        <w:spacing w:line="360" w:lineRule="auto"/>
        <w:ind w:left="438"/>
        <w:outlineLvl w:val="0"/>
        <w:rPr>
          <w:rFonts w:ascii="宋体" w:hAnsi="宋体" w:cs="宋体"/>
          <w:b/>
          <w:bCs/>
          <w:color w:val="000000"/>
          <w:lang w:bidi="zh-CN"/>
        </w:rPr>
      </w:pPr>
      <w:r>
        <w:rPr>
          <w:rFonts w:hint="eastAsia" w:ascii="宋体" w:hAnsi="宋体" w:cs="宋体"/>
          <w:b/>
          <w:bCs/>
          <w:color w:val="000000"/>
          <w:lang w:bidi="zh-CN"/>
        </w:rPr>
        <w:t>8  故障响应及恢复时间要求</w:t>
      </w:r>
    </w:p>
    <w:tbl>
      <w:tblPr>
        <w:tblStyle w:val="4"/>
        <w:tblW w:w="9498" w:type="dxa"/>
        <w:tblInd w:w="-2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98"/>
        <w:gridCol w:w="773"/>
        <w:gridCol w:w="4252"/>
        <w:gridCol w:w="709"/>
        <w:gridCol w:w="1417"/>
        <w:gridCol w:w="993"/>
        <w:gridCol w:w="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598" w:type="dxa"/>
            <w:shd w:val="clear" w:color="auto" w:fill="auto"/>
          </w:tcPr>
          <w:p>
            <w:pPr>
              <w:autoSpaceDE w:val="0"/>
              <w:autoSpaceDN w:val="0"/>
              <w:spacing w:line="360" w:lineRule="auto"/>
              <w:ind w:left="5" w:right="33"/>
              <w:jc w:val="center"/>
              <w:rPr>
                <w:rFonts w:ascii="宋体" w:hAnsi="宋体"/>
              </w:rPr>
            </w:pPr>
            <w:r>
              <w:rPr>
                <w:rFonts w:hint="eastAsia" w:ascii="宋体" w:hAnsi="宋体"/>
              </w:rPr>
              <w:t>故障级</w:t>
            </w:r>
          </w:p>
          <w:p>
            <w:pPr>
              <w:autoSpaceDE w:val="0"/>
              <w:autoSpaceDN w:val="0"/>
              <w:spacing w:line="360" w:lineRule="auto"/>
              <w:ind w:right="28"/>
              <w:jc w:val="center"/>
              <w:rPr>
                <w:rFonts w:ascii="宋体" w:hAnsi="宋体"/>
              </w:rPr>
            </w:pPr>
            <w:r>
              <w:rPr>
                <w:rFonts w:hint="eastAsia" w:ascii="宋体" w:hAnsi="宋体"/>
              </w:rPr>
              <w:t>别</w:t>
            </w:r>
          </w:p>
        </w:tc>
        <w:tc>
          <w:tcPr>
            <w:tcW w:w="773" w:type="dxa"/>
            <w:shd w:val="clear" w:color="auto" w:fill="auto"/>
          </w:tcPr>
          <w:p>
            <w:pPr>
              <w:autoSpaceDE w:val="0"/>
              <w:autoSpaceDN w:val="0"/>
              <w:spacing w:line="360" w:lineRule="auto"/>
              <w:ind w:left="40" w:right="29"/>
              <w:jc w:val="center"/>
              <w:rPr>
                <w:rFonts w:ascii="宋体" w:hAnsi="宋体"/>
              </w:rPr>
            </w:pPr>
            <w:r>
              <w:rPr>
                <w:rFonts w:hint="eastAsia" w:ascii="宋体" w:hAnsi="宋体"/>
              </w:rPr>
              <w:t>故障现</w:t>
            </w:r>
          </w:p>
          <w:p>
            <w:pPr>
              <w:autoSpaceDE w:val="0"/>
              <w:autoSpaceDN w:val="0"/>
              <w:spacing w:line="360" w:lineRule="auto"/>
              <w:ind w:right="7"/>
              <w:jc w:val="center"/>
              <w:rPr>
                <w:rFonts w:ascii="宋体" w:hAnsi="宋体"/>
              </w:rPr>
            </w:pPr>
            <w:r>
              <w:rPr>
                <w:rFonts w:hint="eastAsia" w:ascii="宋体" w:hAnsi="宋体"/>
              </w:rPr>
              <w:t>象</w:t>
            </w:r>
          </w:p>
        </w:tc>
        <w:tc>
          <w:tcPr>
            <w:tcW w:w="4252" w:type="dxa"/>
            <w:shd w:val="clear" w:color="auto" w:fill="auto"/>
          </w:tcPr>
          <w:p>
            <w:pPr>
              <w:autoSpaceDE w:val="0"/>
              <w:autoSpaceDN w:val="0"/>
              <w:spacing w:before="59" w:line="360" w:lineRule="auto"/>
              <w:ind w:left="2235" w:right="2251"/>
              <w:jc w:val="center"/>
              <w:rPr>
                <w:rFonts w:ascii="宋体" w:hAnsi="宋体"/>
              </w:rPr>
            </w:pPr>
            <w:r>
              <w:rPr>
                <w:rFonts w:hint="eastAsia" w:ascii="宋体" w:hAnsi="宋体"/>
              </w:rPr>
              <w:t>典型事件</w:t>
            </w:r>
          </w:p>
        </w:tc>
        <w:tc>
          <w:tcPr>
            <w:tcW w:w="709" w:type="dxa"/>
            <w:shd w:val="clear" w:color="auto" w:fill="auto"/>
          </w:tcPr>
          <w:p>
            <w:pPr>
              <w:autoSpaceDE w:val="0"/>
              <w:autoSpaceDN w:val="0"/>
              <w:spacing w:line="360" w:lineRule="auto"/>
              <w:ind w:left="28" w:right="52"/>
              <w:jc w:val="center"/>
              <w:rPr>
                <w:rFonts w:ascii="宋体" w:hAnsi="宋体"/>
              </w:rPr>
            </w:pPr>
            <w:r>
              <w:rPr>
                <w:rFonts w:hint="eastAsia" w:ascii="宋体" w:hAnsi="宋体"/>
              </w:rPr>
              <w:t>电话响</w:t>
            </w:r>
          </w:p>
          <w:p>
            <w:pPr>
              <w:autoSpaceDE w:val="0"/>
              <w:autoSpaceDN w:val="0"/>
              <w:spacing w:line="360" w:lineRule="auto"/>
              <w:ind w:right="24"/>
              <w:jc w:val="center"/>
              <w:rPr>
                <w:rFonts w:ascii="宋体" w:hAnsi="宋体"/>
              </w:rPr>
            </w:pPr>
            <w:r>
              <w:rPr>
                <w:rFonts w:hint="eastAsia" w:ascii="宋体" w:hAnsi="宋体"/>
              </w:rPr>
              <w:t>应</w:t>
            </w:r>
          </w:p>
        </w:tc>
        <w:tc>
          <w:tcPr>
            <w:tcW w:w="1417" w:type="dxa"/>
            <w:shd w:val="clear" w:color="auto" w:fill="auto"/>
          </w:tcPr>
          <w:p>
            <w:pPr>
              <w:autoSpaceDE w:val="0"/>
              <w:autoSpaceDN w:val="0"/>
              <w:spacing w:before="59" w:line="360" w:lineRule="auto"/>
              <w:ind w:left="52"/>
              <w:jc w:val="left"/>
              <w:rPr>
                <w:rFonts w:ascii="宋体" w:hAnsi="宋体"/>
              </w:rPr>
            </w:pPr>
            <w:r>
              <w:rPr>
                <w:rFonts w:hint="eastAsia" w:ascii="宋体" w:hAnsi="宋体"/>
              </w:rPr>
              <w:t>现场响应</w:t>
            </w:r>
          </w:p>
        </w:tc>
        <w:tc>
          <w:tcPr>
            <w:tcW w:w="993" w:type="dxa"/>
            <w:shd w:val="clear" w:color="auto" w:fill="auto"/>
          </w:tcPr>
          <w:p>
            <w:pPr>
              <w:autoSpaceDE w:val="0"/>
              <w:autoSpaceDN w:val="0"/>
              <w:spacing w:line="360" w:lineRule="auto"/>
              <w:ind w:left="44" w:right="25"/>
              <w:jc w:val="center"/>
              <w:rPr>
                <w:rFonts w:ascii="宋体" w:hAnsi="宋体"/>
              </w:rPr>
            </w:pPr>
            <w:r>
              <w:rPr>
                <w:rFonts w:hint="eastAsia" w:ascii="宋体" w:hAnsi="宋体"/>
              </w:rPr>
              <w:t>业务恢复时</w:t>
            </w:r>
          </w:p>
          <w:p>
            <w:pPr>
              <w:autoSpaceDE w:val="0"/>
              <w:autoSpaceDN w:val="0"/>
              <w:spacing w:line="360" w:lineRule="auto"/>
              <w:ind w:right="1"/>
              <w:jc w:val="center"/>
              <w:rPr>
                <w:rFonts w:ascii="宋体" w:hAnsi="宋体"/>
              </w:rPr>
            </w:pPr>
            <w:r>
              <w:rPr>
                <w:rFonts w:hint="eastAsia" w:ascii="宋体" w:hAnsi="宋体"/>
              </w:rPr>
              <w:t>间</w:t>
            </w:r>
          </w:p>
        </w:tc>
        <w:tc>
          <w:tcPr>
            <w:tcW w:w="756" w:type="dxa"/>
            <w:shd w:val="clear" w:color="auto" w:fill="auto"/>
          </w:tcPr>
          <w:p>
            <w:pPr>
              <w:autoSpaceDE w:val="0"/>
              <w:autoSpaceDN w:val="0"/>
              <w:spacing w:line="360" w:lineRule="auto"/>
              <w:ind w:left="155" w:right="91"/>
              <w:jc w:val="center"/>
              <w:rPr>
                <w:rFonts w:ascii="宋体" w:hAnsi="宋体"/>
              </w:rPr>
            </w:pPr>
            <w:r>
              <w:rPr>
                <w:rFonts w:hint="eastAsia" w:ascii="宋体" w:hAnsi="宋体"/>
              </w:rPr>
              <w:t>故障解决</w:t>
            </w:r>
          </w:p>
          <w:p>
            <w:pPr>
              <w:autoSpaceDE w:val="0"/>
              <w:autoSpaceDN w:val="0"/>
              <w:spacing w:line="360" w:lineRule="auto"/>
              <w:ind w:left="145" w:right="91"/>
              <w:jc w:val="center"/>
              <w:rPr>
                <w:rFonts w:ascii="宋体" w:hAnsi="宋体"/>
              </w:rPr>
            </w:pPr>
            <w:r>
              <w:rPr>
                <w:rFonts w:hint="eastAsia" w:ascii="宋体" w:hAnsi="宋体"/>
              </w:rPr>
              <w:t>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6" w:hRule="atLeast"/>
        </w:trPr>
        <w:tc>
          <w:tcPr>
            <w:tcW w:w="598" w:type="dxa"/>
            <w:shd w:val="clear" w:color="auto" w:fill="auto"/>
          </w:tcPr>
          <w:p>
            <w:pPr>
              <w:autoSpaceDE w:val="0"/>
              <w:autoSpaceDN w:val="0"/>
              <w:spacing w:line="360" w:lineRule="auto"/>
              <w:jc w:val="left"/>
              <w:rPr>
                <w:rFonts w:ascii="宋体" w:hAnsi="宋体"/>
              </w:rPr>
            </w:pPr>
          </w:p>
          <w:p>
            <w:pPr>
              <w:autoSpaceDE w:val="0"/>
              <w:autoSpaceDN w:val="0"/>
              <w:spacing w:before="1" w:line="360" w:lineRule="auto"/>
              <w:jc w:val="left"/>
              <w:rPr>
                <w:rFonts w:ascii="宋体" w:hAnsi="宋体"/>
              </w:rPr>
            </w:pPr>
          </w:p>
          <w:p>
            <w:pPr>
              <w:autoSpaceDE w:val="0"/>
              <w:autoSpaceDN w:val="0"/>
              <w:spacing w:line="360" w:lineRule="auto"/>
              <w:ind w:left="202" w:right="42" w:hanging="168"/>
              <w:jc w:val="left"/>
              <w:rPr>
                <w:rFonts w:ascii="宋体" w:hAnsi="宋体"/>
              </w:rPr>
            </w:pPr>
            <w:r>
              <w:rPr>
                <w:rFonts w:ascii="宋体" w:hAnsi="宋体"/>
              </w:rPr>
              <w:t>一级故障</w:t>
            </w:r>
          </w:p>
        </w:tc>
        <w:tc>
          <w:tcPr>
            <w:tcW w:w="773" w:type="dxa"/>
            <w:shd w:val="clear" w:color="auto" w:fill="auto"/>
          </w:tcPr>
          <w:p>
            <w:pPr>
              <w:autoSpaceDE w:val="0"/>
              <w:autoSpaceDN w:val="0"/>
              <w:spacing w:before="26" w:line="360" w:lineRule="auto"/>
              <w:ind w:left="60" w:right="36" w:firstLine="10"/>
              <w:rPr>
                <w:rFonts w:ascii="宋体" w:hAnsi="宋体"/>
              </w:rPr>
            </w:pPr>
            <w:r>
              <w:rPr>
                <w:rFonts w:ascii="宋体" w:hAnsi="宋体"/>
              </w:rPr>
              <w:t>对业务造成灾难性影</w:t>
            </w:r>
          </w:p>
          <w:p>
            <w:pPr>
              <w:autoSpaceDE w:val="0"/>
              <w:autoSpaceDN w:val="0"/>
              <w:spacing w:line="360" w:lineRule="auto"/>
              <w:ind w:left="11"/>
              <w:jc w:val="center"/>
              <w:rPr>
                <w:rFonts w:ascii="宋体" w:hAnsi="宋体"/>
              </w:rPr>
            </w:pPr>
            <w:r>
              <w:rPr>
                <w:rFonts w:ascii="宋体" w:hAnsi="宋体"/>
              </w:rPr>
              <w:t>响</w:t>
            </w:r>
          </w:p>
        </w:tc>
        <w:tc>
          <w:tcPr>
            <w:tcW w:w="4252" w:type="dxa"/>
            <w:shd w:val="clear" w:color="auto" w:fill="auto"/>
          </w:tcPr>
          <w:p>
            <w:pPr>
              <w:autoSpaceDE w:val="0"/>
              <w:autoSpaceDN w:val="0"/>
              <w:spacing w:before="1" w:line="360" w:lineRule="auto"/>
              <w:jc w:val="left"/>
              <w:rPr>
                <w:rFonts w:ascii="宋体" w:hAnsi="宋体"/>
              </w:rPr>
            </w:pPr>
          </w:p>
          <w:p>
            <w:pPr>
              <w:autoSpaceDE w:val="0"/>
              <w:autoSpaceDN w:val="0"/>
              <w:spacing w:line="360" w:lineRule="auto"/>
              <w:ind w:left="77" w:right="145"/>
              <w:jc w:val="left"/>
              <w:rPr>
                <w:rFonts w:ascii="宋体" w:hAnsi="宋体"/>
              </w:rPr>
            </w:pPr>
            <w:r>
              <w:rPr>
                <w:rFonts w:ascii="宋体" w:hAnsi="宋体"/>
              </w:rPr>
              <w:t>HIP、HIS、LIS、PACS、电子病例、HIP等业务（除系统正常维护外的所有时段）业务中断一次≥2小时或一天累计时长≥4小时；</w:t>
            </w:r>
          </w:p>
        </w:tc>
        <w:tc>
          <w:tcPr>
            <w:tcW w:w="709" w:type="dxa"/>
            <w:shd w:val="clear" w:color="auto" w:fill="auto"/>
          </w:tcPr>
          <w:p>
            <w:pPr>
              <w:autoSpaceDE w:val="0"/>
              <w:autoSpaceDN w:val="0"/>
              <w:spacing w:line="360" w:lineRule="auto"/>
              <w:jc w:val="left"/>
              <w:rPr>
                <w:rFonts w:ascii="宋体" w:hAnsi="宋体"/>
              </w:rPr>
            </w:pPr>
          </w:p>
          <w:p>
            <w:pPr>
              <w:autoSpaceDE w:val="0"/>
              <w:autoSpaceDN w:val="0"/>
              <w:spacing w:before="3" w:line="360" w:lineRule="auto"/>
              <w:jc w:val="left"/>
              <w:rPr>
                <w:rFonts w:ascii="宋体" w:hAnsi="宋体"/>
              </w:rPr>
            </w:pPr>
          </w:p>
          <w:p>
            <w:pPr>
              <w:autoSpaceDE w:val="0"/>
              <w:autoSpaceDN w:val="0"/>
              <w:spacing w:line="360" w:lineRule="auto"/>
              <w:ind w:left="28" w:right="31"/>
              <w:jc w:val="center"/>
              <w:rPr>
                <w:rFonts w:ascii="宋体" w:hAnsi="宋体"/>
              </w:rPr>
            </w:pPr>
            <w:r>
              <w:rPr>
                <w:rFonts w:ascii="宋体" w:hAnsi="宋体"/>
              </w:rPr>
              <w:t>立即</w:t>
            </w:r>
          </w:p>
        </w:tc>
        <w:tc>
          <w:tcPr>
            <w:tcW w:w="1417" w:type="dxa"/>
            <w:shd w:val="clear" w:color="auto" w:fill="auto"/>
          </w:tcPr>
          <w:p>
            <w:pPr>
              <w:autoSpaceDE w:val="0"/>
              <w:autoSpaceDN w:val="0"/>
              <w:spacing w:before="14" w:line="360" w:lineRule="auto"/>
              <w:jc w:val="left"/>
              <w:rPr>
                <w:rFonts w:ascii="宋体" w:hAnsi="宋体"/>
              </w:rPr>
            </w:pPr>
          </w:p>
          <w:p>
            <w:pPr>
              <w:autoSpaceDE w:val="0"/>
              <w:autoSpaceDN w:val="0"/>
              <w:spacing w:line="360" w:lineRule="auto"/>
              <w:ind w:left="79"/>
              <w:jc w:val="left"/>
              <w:rPr>
                <w:rFonts w:ascii="宋体" w:hAnsi="宋体"/>
              </w:rPr>
            </w:pPr>
            <w:r>
              <w:rPr>
                <w:rFonts w:ascii="宋体" w:hAnsi="宋体"/>
              </w:rPr>
              <w:t>立即响应</w:t>
            </w:r>
          </w:p>
          <w:p>
            <w:pPr>
              <w:autoSpaceDE w:val="0"/>
              <w:autoSpaceDN w:val="0"/>
              <w:spacing w:before="14" w:line="360" w:lineRule="auto"/>
              <w:ind w:left="152" w:right="7" w:hanging="126"/>
              <w:jc w:val="left"/>
              <w:rPr>
                <w:rFonts w:ascii="宋体" w:hAnsi="宋体"/>
              </w:rPr>
            </w:pPr>
            <w:r>
              <w:rPr>
                <w:rFonts w:ascii="宋体" w:hAnsi="宋体"/>
              </w:rPr>
              <w:t>，1小时内到现场</w:t>
            </w:r>
          </w:p>
        </w:tc>
        <w:tc>
          <w:tcPr>
            <w:tcW w:w="993" w:type="dxa"/>
            <w:shd w:val="clear" w:color="auto" w:fill="auto"/>
          </w:tcPr>
          <w:p>
            <w:pPr>
              <w:autoSpaceDE w:val="0"/>
              <w:autoSpaceDN w:val="0"/>
              <w:spacing w:before="2" w:line="360" w:lineRule="auto"/>
              <w:jc w:val="left"/>
              <w:rPr>
                <w:rFonts w:ascii="宋体" w:hAnsi="宋体"/>
              </w:rPr>
            </w:pPr>
          </w:p>
          <w:p>
            <w:pPr>
              <w:autoSpaceDE w:val="0"/>
              <w:autoSpaceDN w:val="0"/>
              <w:spacing w:line="360" w:lineRule="auto"/>
              <w:ind w:right="200"/>
              <w:jc w:val="right"/>
              <w:rPr>
                <w:rFonts w:ascii="宋体" w:hAnsi="宋体"/>
              </w:rPr>
            </w:pPr>
            <w:r>
              <w:rPr>
                <w:rFonts w:ascii="宋体" w:hAnsi="宋体"/>
              </w:rPr>
              <w:t>≤2</w:t>
            </w:r>
            <w:r>
              <w:rPr>
                <w:rFonts w:hint="eastAsia" w:ascii="宋体" w:hAnsi="宋体"/>
              </w:rPr>
              <w:t>小时</w:t>
            </w:r>
          </w:p>
        </w:tc>
        <w:tc>
          <w:tcPr>
            <w:tcW w:w="756" w:type="dxa"/>
            <w:shd w:val="clear" w:color="auto" w:fill="auto"/>
          </w:tcPr>
          <w:p>
            <w:pPr>
              <w:autoSpaceDE w:val="0"/>
              <w:autoSpaceDN w:val="0"/>
              <w:spacing w:before="2" w:line="360" w:lineRule="auto"/>
              <w:jc w:val="left"/>
              <w:rPr>
                <w:rFonts w:ascii="宋体" w:hAnsi="宋体"/>
              </w:rPr>
            </w:pPr>
          </w:p>
          <w:p>
            <w:pPr>
              <w:autoSpaceDE w:val="0"/>
              <w:autoSpaceDN w:val="0"/>
              <w:spacing w:line="360" w:lineRule="auto"/>
              <w:ind w:left="212"/>
              <w:jc w:val="left"/>
              <w:rPr>
                <w:rFonts w:ascii="宋体" w:hAnsi="宋体"/>
              </w:rPr>
            </w:pPr>
            <w:r>
              <w:rPr>
                <w:rFonts w:ascii="宋体" w:hAnsi="宋体"/>
              </w:rPr>
              <w:t>≤24</w:t>
            </w:r>
            <w:r>
              <w:rPr>
                <w:rFonts w:hint="eastAsia" w:ascii="宋体" w:hAnsi="宋体"/>
              </w:rPr>
              <w:t>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3" w:hRule="atLeast"/>
        </w:trPr>
        <w:tc>
          <w:tcPr>
            <w:tcW w:w="598" w:type="dxa"/>
            <w:shd w:val="clear" w:color="auto" w:fill="auto"/>
          </w:tcPr>
          <w:p>
            <w:pPr>
              <w:autoSpaceDE w:val="0"/>
              <w:autoSpaceDN w:val="0"/>
              <w:spacing w:before="12" w:line="360" w:lineRule="auto"/>
              <w:jc w:val="left"/>
              <w:rPr>
                <w:rFonts w:ascii="宋体" w:hAnsi="宋体"/>
              </w:rPr>
            </w:pPr>
          </w:p>
          <w:p>
            <w:pPr>
              <w:autoSpaceDE w:val="0"/>
              <w:autoSpaceDN w:val="0"/>
              <w:spacing w:line="360" w:lineRule="auto"/>
              <w:ind w:left="202" w:right="42" w:hanging="168"/>
              <w:jc w:val="left"/>
              <w:rPr>
                <w:rFonts w:ascii="宋体" w:hAnsi="宋体"/>
              </w:rPr>
            </w:pPr>
            <w:r>
              <w:rPr>
                <w:rFonts w:ascii="宋体" w:hAnsi="宋体"/>
              </w:rPr>
              <w:t>二级故障</w:t>
            </w:r>
          </w:p>
        </w:tc>
        <w:tc>
          <w:tcPr>
            <w:tcW w:w="773" w:type="dxa"/>
            <w:shd w:val="clear" w:color="auto" w:fill="auto"/>
          </w:tcPr>
          <w:p>
            <w:pPr>
              <w:autoSpaceDE w:val="0"/>
              <w:autoSpaceDN w:val="0"/>
              <w:spacing w:before="12" w:line="360" w:lineRule="auto"/>
              <w:jc w:val="left"/>
              <w:rPr>
                <w:rFonts w:ascii="宋体" w:hAnsi="宋体"/>
              </w:rPr>
            </w:pPr>
          </w:p>
          <w:p>
            <w:pPr>
              <w:autoSpaceDE w:val="0"/>
              <w:autoSpaceDN w:val="0"/>
              <w:spacing w:line="360" w:lineRule="auto"/>
              <w:ind w:left="60" w:right="36" w:firstLine="10"/>
              <w:jc w:val="left"/>
              <w:rPr>
                <w:rFonts w:ascii="宋体" w:hAnsi="宋体"/>
              </w:rPr>
            </w:pPr>
            <w:r>
              <w:rPr>
                <w:rFonts w:ascii="宋体" w:hAnsi="宋体"/>
              </w:rPr>
              <w:t>严重影响业务</w:t>
            </w:r>
          </w:p>
        </w:tc>
        <w:tc>
          <w:tcPr>
            <w:tcW w:w="4252" w:type="dxa"/>
            <w:shd w:val="clear" w:color="auto" w:fill="auto"/>
          </w:tcPr>
          <w:p>
            <w:pPr>
              <w:autoSpaceDE w:val="0"/>
              <w:autoSpaceDN w:val="0"/>
              <w:spacing w:before="12" w:line="360" w:lineRule="auto"/>
              <w:jc w:val="left"/>
              <w:rPr>
                <w:rFonts w:ascii="宋体" w:hAnsi="宋体"/>
              </w:rPr>
            </w:pPr>
          </w:p>
          <w:p>
            <w:pPr>
              <w:autoSpaceDE w:val="0"/>
              <w:autoSpaceDN w:val="0"/>
              <w:spacing w:line="360" w:lineRule="auto"/>
              <w:ind w:left="77" w:right="145"/>
              <w:jc w:val="left"/>
              <w:rPr>
                <w:rFonts w:ascii="宋体" w:hAnsi="宋体"/>
              </w:rPr>
            </w:pPr>
            <w:r>
              <w:rPr>
                <w:rFonts w:ascii="宋体" w:hAnsi="宋体"/>
              </w:rPr>
              <w:t>HIP、HIS、LIS、PACS、电子病例、HIP等业务（除系统正常维护外的所有时段）业务中断一次≥1小时或一天累计时长≥2小时；</w:t>
            </w:r>
          </w:p>
        </w:tc>
        <w:tc>
          <w:tcPr>
            <w:tcW w:w="709" w:type="dxa"/>
            <w:shd w:val="clear" w:color="auto" w:fill="auto"/>
          </w:tcPr>
          <w:p>
            <w:pPr>
              <w:autoSpaceDE w:val="0"/>
              <w:autoSpaceDN w:val="0"/>
              <w:spacing w:before="14" w:line="360" w:lineRule="auto"/>
              <w:jc w:val="left"/>
              <w:rPr>
                <w:rFonts w:ascii="宋体" w:hAnsi="宋体"/>
              </w:rPr>
            </w:pPr>
          </w:p>
          <w:p>
            <w:pPr>
              <w:autoSpaceDE w:val="0"/>
              <w:autoSpaceDN w:val="0"/>
              <w:spacing w:line="360" w:lineRule="auto"/>
              <w:ind w:left="28" w:right="31"/>
              <w:jc w:val="center"/>
              <w:rPr>
                <w:rFonts w:ascii="宋体" w:hAnsi="宋体"/>
              </w:rPr>
            </w:pPr>
            <w:r>
              <w:rPr>
                <w:rFonts w:ascii="宋体" w:hAnsi="宋体"/>
              </w:rPr>
              <w:t>立即</w:t>
            </w:r>
          </w:p>
        </w:tc>
        <w:tc>
          <w:tcPr>
            <w:tcW w:w="1417" w:type="dxa"/>
            <w:shd w:val="clear" w:color="auto" w:fill="auto"/>
          </w:tcPr>
          <w:p>
            <w:pPr>
              <w:autoSpaceDE w:val="0"/>
              <w:autoSpaceDN w:val="0"/>
              <w:spacing w:before="7" w:line="360" w:lineRule="auto"/>
              <w:jc w:val="left"/>
              <w:rPr>
                <w:rFonts w:ascii="宋体" w:hAnsi="宋体"/>
              </w:rPr>
            </w:pPr>
          </w:p>
          <w:p>
            <w:pPr>
              <w:autoSpaceDE w:val="0"/>
              <w:autoSpaceDN w:val="0"/>
              <w:spacing w:line="360" w:lineRule="auto"/>
              <w:ind w:left="79"/>
              <w:jc w:val="left"/>
              <w:rPr>
                <w:rFonts w:ascii="宋体" w:hAnsi="宋体"/>
              </w:rPr>
            </w:pPr>
            <w:r>
              <w:rPr>
                <w:rFonts w:ascii="宋体" w:hAnsi="宋体"/>
              </w:rPr>
              <w:t>立即响应</w:t>
            </w:r>
          </w:p>
          <w:p>
            <w:pPr>
              <w:autoSpaceDE w:val="0"/>
              <w:autoSpaceDN w:val="0"/>
              <w:spacing w:before="14" w:line="360" w:lineRule="auto"/>
              <w:ind w:left="152" w:right="7" w:hanging="126"/>
              <w:jc w:val="left"/>
              <w:rPr>
                <w:rFonts w:ascii="宋体" w:hAnsi="宋体"/>
              </w:rPr>
            </w:pPr>
            <w:r>
              <w:rPr>
                <w:rFonts w:ascii="宋体" w:hAnsi="宋体"/>
              </w:rPr>
              <w:t>，2小时内到现场</w:t>
            </w:r>
          </w:p>
        </w:tc>
        <w:tc>
          <w:tcPr>
            <w:tcW w:w="993" w:type="dxa"/>
            <w:shd w:val="clear" w:color="auto" w:fill="auto"/>
          </w:tcPr>
          <w:p>
            <w:pPr>
              <w:autoSpaceDE w:val="0"/>
              <w:autoSpaceDN w:val="0"/>
              <w:spacing w:before="13" w:line="360" w:lineRule="auto"/>
              <w:jc w:val="left"/>
              <w:rPr>
                <w:rFonts w:ascii="宋体" w:hAnsi="宋体"/>
              </w:rPr>
            </w:pPr>
          </w:p>
          <w:p>
            <w:pPr>
              <w:autoSpaceDE w:val="0"/>
              <w:autoSpaceDN w:val="0"/>
              <w:spacing w:line="360" w:lineRule="auto"/>
              <w:ind w:right="200"/>
              <w:jc w:val="right"/>
              <w:rPr>
                <w:rFonts w:ascii="宋体" w:hAnsi="宋体"/>
              </w:rPr>
            </w:pPr>
            <w:r>
              <w:rPr>
                <w:rFonts w:ascii="宋体" w:hAnsi="宋体"/>
              </w:rPr>
              <w:t>≤4</w:t>
            </w:r>
            <w:r>
              <w:rPr>
                <w:rFonts w:hint="eastAsia" w:ascii="宋体" w:hAnsi="宋体"/>
              </w:rPr>
              <w:t>小时</w:t>
            </w:r>
          </w:p>
        </w:tc>
        <w:tc>
          <w:tcPr>
            <w:tcW w:w="756" w:type="dxa"/>
            <w:shd w:val="clear" w:color="auto" w:fill="auto"/>
          </w:tcPr>
          <w:p>
            <w:pPr>
              <w:autoSpaceDE w:val="0"/>
              <w:autoSpaceDN w:val="0"/>
              <w:spacing w:before="13" w:line="360" w:lineRule="auto"/>
              <w:jc w:val="left"/>
              <w:rPr>
                <w:rFonts w:ascii="宋体" w:hAnsi="宋体"/>
              </w:rPr>
            </w:pPr>
          </w:p>
          <w:p>
            <w:pPr>
              <w:autoSpaceDE w:val="0"/>
              <w:autoSpaceDN w:val="0"/>
              <w:spacing w:line="360" w:lineRule="auto"/>
              <w:ind w:left="212"/>
              <w:jc w:val="left"/>
              <w:rPr>
                <w:rFonts w:ascii="宋体" w:hAnsi="宋体"/>
              </w:rPr>
            </w:pPr>
            <w:r>
              <w:rPr>
                <w:rFonts w:ascii="宋体" w:hAnsi="宋体"/>
              </w:rPr>
              <w:t>≤24</w:t>
            </w:r>
            <w:r>
              <w:rPr>
                <w:rFonts w:hint="eastAsia" w:ascii="宋体" w:hAnsi="宋体"/>
              </w:rPr>
              <w:t>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598" w:type="dxa"/>
            <w:shd w:val="clear" w:color="auto" w:fill="auto"/>
          </w:tcPr>
          <w:p>
            <w:pPr>
              <w:autoSpaceDE w:val="0"/>
              <w:autoSpaceDN w:val="0"/>
              <w:spacing w:before="126" w:line="360" w:lineRule="auto"/>
              <w:ind w:left="202" w:right="42" w:hanging="168"/>
              <w:jc w:val="left"/>
              <w:rPr>
                <w:rFonts w:ascii="宋体" w:hAnsi="宋体"/>
              </w:rPr>
            </w:pPr>
            <w:r>
              <w:rPr>
                <w:rFonts w:ascii="宋体" w:hAnsi="宋体"/>
              </w:rPr>
              <w:t>三级故障</w:t>
            </w:r>
          </w:p>
        </w:tc>
        <w:tc>
          <w:tcPr>
            <w:tcW w:w="773" w:type="dxa"/>
            <w:shd w:val="clear" w:color="auto" w:fill="auto"/>
          </w:tcPr>
          <w:p>
            <w:pPr>
              <w:autoSpaceDE w:val="0"/>
              <w:autoSpaceDN w:val="0"/>
              <w:spacing w:before="21" w:line="360" w:lineRule="auto"/>
              <w:ind w:left="60" w:right="36" w:firstLine="10"/>
              <w:jc w:val="left"/>
              <w:rPr>
                <w:rFonts w:ascii="宋体" w:hAnsi="宋体"/>
              </w:rPr>
            </w:pPr>
            <w:r>
              <w:rPr>
                <w:rFonts w:ascii="宋体" w:hAnsi="宋体"/>
              </w:rPr>
              <w:t>对业务的影响</w:t>
            </w:r>
          </w:p>
          <w:p>
            <w:pPr>
              <w:autoSpaceDE w:val="0"/>
              <w:autoSpaceDN w:val="0"/>
              <w:spacing w:line="360" w:lineRule="auto"/>
              <w:ind w:left="144"/>
              <w:jc w:val="left"/>
              <w:rPr>
                <w:rFonts w:ascii="宋体" w:hAnsi="宋体"/>
              </w:rPr>
            </w:pPr>
            <w:r>
              <w:rPr>
                <w:rFonts w:ascii="宋体" w:hAnsi="宋体"/>
              </w:rPr>
              <w:t>有限</w:t>
            </w:r>
          </w:p>
        </w:tc>
        <w:tc>
          <w:tcPr>
            <w:tcW w:w="4252" w:type="dxa"/>
            <w:shd w:val="clear" w:color="auto" w:fill="auto"/>
          </w:tcPr>
          <w:p>
            <w:pPr>
              <w:autoSpaceDE w:val="0"/>
              <w:autoSpaceDN w:val="0"/>
              <w:spacing w:before="17" w:line="360" w:lineRule="auto"/>
              <w:jc w:val="left"/>
              <w:rPr>
                <w:rFonts w:ascii="宋体" w:hAnsi="宋体"/>
              </w:rPr>
            </w:pPr>
          </w:p>
          <w:p>
            <w:pPr>
              <w:autoSpaceDE w:val="0"/>
              <w:autoSpaceDN w:val="0"/>
              <w:spacing w:before="1" w:line="360" w:lineRule="auto"/>
              <w:ind w:left="14"/>
              <w:jc w:val="left"/>
              <w:rPr>
                <w:rFonts w:ascii="宋体" w:hAnsi="宋体"/>
              </w:rPr>
            </w:pPr>
            <w:r>
              <w:rPr>
                <w:rFonts w:ascii="宋体" w:hAnsi="宋体"/>
              </w:rPr>
              <w:t>除重大故障和严重故障以外的其它故障。</w:t>
            </w:r>
          </w:p>
        </w:tc>
        <w:tc>
          <w:tcPr>
            <w:tcW w:w="709" w:type="dxa"/>
            <w:shd w:val="clear" w:color="auto" w:fill="auto"/>
          </w:tcPr>
          <w:p>
            <w:pPr>
              <w:autoSpaceDE w:val="0"/>
              <w:autoSpaceDN w:val="0"/>
              <w:spacing w:before="17" w:line="360" w:lineRule="auto"/>
              <w:jc w:val="left"/>
              <w:rPr>
                <w:rFonts w:ascii="宋体" w:hAnsi="宋体"/>
              </w:rPr>
            </w:pPr>
          </w:p>
          <w:p>
            <w:pPr>
              <w:autoSpaceDE w:val="0"/>
              <w:autoSpaceDN w:val="0"/>
              <w:spacing w:before="1" w:line="360" w:lineRule="auto"/>
              <w:ind w:left="28" w:right="31"/>
              <w:jc w:val="center"/>
              <w:rPr>
                <w:rFonts w:ascii="宋体" w:hAnsi="宋体"/>
              </w:rPr>
            </w:pPr>
            <w:r>
              <w:rPr>
                <w:rFonts w:ascii="宋体" w:hAnsi="宋体"/>
              </w:rPr>
              <w:t>立即</w:t>
            </w:r>
          </w:p>
        </w:tc>
        <w:tc>
          <w:tcPr>
            <w:tcW w:w="1417" w:type="dxa"/>
            <w:shd w:val="clear" w:color="auto" w:fill="auto"/>
          </w:tcPr>
          <w:p>
            <w:pPr>
              <w:autoSpaceDE w:val="0"/>
              <w:autoSpaceDN w:val="0"/>
              <w:spacing w:line="360" w:lineRule="auto"/>
              <w:ind w:left="79"/>
              <w:jc w:val="left"/>
              <w:rPr>
                <w:rFonts w:ascii="宋体" w:hAnsi="宋体"/>
              </w:rPr>
            </w:pPr>
            <w:r>
              <w:rPr>
                <w:rFonts w:ascii="宋体" w:hAnsi="宋体"/>
              </w:rPr>
              <w:t>立即响应</w:t>
            </w:r>
          </w:p>
          <w:p>
            <w:pPr>
              <w:autoSpaceDE w:val="0"/>
              <w:autoSpaceDN w:val="0"/>
              <w:spacing w:line="360" w:lineRule="auto"/>
              <w:ind w:left="26"/>
              <w:jc w:val="left"/>
              <w:rPr>
                <w:rFonts w:ascii="宋体" w:hAnsi="宋体"/>
              </w:rPr>
            </w:pPr>
            <w:r>
              <w:rPr>
                <w:rFonts w:ascii="宋体" w:hAnsi="宋体"/>
              </w:rPr>
              <w:t>，4小时内</w:t>
            </w:r>
          </w:p>
          <w:p>
            <w:pPr>
              <w:autoSpaceDE w:val="0"/>
              <w:autoSpaceDN w:val="0"/>
              <w:spacing w:line="360" w:lineRule="auto"/>
              <w:ind w:left="152"/>
              <w:jc w:val="left"/>
              <w:rPr>
                <w:rFonts w:ascii="宋体" w:hAnsi="宋体"/>
              </w:rPr>
            </w:pPr>
            <w:r>
              <w:rPr>
                <w:rFonts w:ascii="宋体" w:hAnsi="宋体"/>
              </w:rPr>
              <w:t>到现场</w:t>
            </w:r>
          </w:p>
        </w:tc>
        <w:tc>
          <w:tcPr>
            <w:tcW w:w="993" w:type="dxa"/>
            <w:shd w:val="clear" w:color="auto" w:fill="auto"/>
          </w:tcPr>
          <w:p>
            <w:pPr>
              <w:autoSpaceDE w:val="0"/>
              <w:autoSpaceDN w:val="0"/>
              <w:spacing w:before="164" w:line="360" w:lineRule="auto"/>
              <w:ind w:right="158"/>
              <w:jc w:val="right"/>
              <w:rPr>
                <w:rFonts w:ascii="宋体" w:hAnsi="宋体"/>
              </w:rPr>
            </w:pPr>
            <w:r>
              <w:rPr>
                <w:rFonts w:ascii="宋体" w:hAnsi="宋体"/>
              </w:rPr>
              <w:t>≤12</w:t>
            </w:r>
            <w:r>
              <w:rPr>
                <w:rFonts w:hint="eastAsia" w:ascii="宋体" w:hAnsi="宋体"/>
              </w:rPr>
              <w:t>小时</w:t>
            </w:r>
          </w:p>
        </w:tc>
        <w:tc>
          <w:tcPr>
            <w:tcW w:w="756" w:type="dxa"/>
            <w:shd w:val="clear" w:color="auto" w:fill="auto"/>
          </w:tcPr>
          <w:p>
            <w:pPr>
              <w:autoSpaceDE w:val="0"/>
              <w:autoSpaceDN w:val="0"/>
              <w:spacing w:before="164" w:line="360" w:lineRule="auto"/>
              <w:ind w:left="165"/>
              <w:jc w:val="left"/>
              <w:rPr>
                <w:rFonts w:ascii="宋体" w:hAnsi="宋体"/>
              </w:rPr>
            </w:pPr>
            <w:r>
              <w:rPr>
                <w:rFonts w:ascii="宋体" w:hAnsi="宋体"/>
              </w:rPr>
              <w:t>≤2</w:t>
            </w:r>
            <w:r>
              <w:rPr>
                <w:rFonts w:hint="eastAsia" w:ascii="宋体" w:hAnsi="宋体"/>
              </w:rPr>
              <w:t>工作日</w:t>
            </w:r>
          </w:p>
        </w:tc>
      </w:tr>
    </w:tbl>
    <w:p>
      <w:pPr>
        <w:spacing w:line="360" w:lineRule="auto"/>
        <w:ind w:left="438"/>
        <w:outlineLvl w:val="0"/>
        <w:rPr>
          <w:rFonts w:ascii="宋体" w:hAnsi="宋体" w:cs="宋体"/>
          <w:b/>
          <w:bCs/>
          <w:color w:val="000000"/>
          <w:lang w:bidi="zh-CN"/>
        </w:rPr>
      </w:pPr>
      <w:r>
        <w:rPr>
          <w:rFonts w:hint="eastAsia" w:ascii="宋体" w:hAnsi="宋体" w:cs="宋体"/>
          <w:b/>
          <w:bCs/>
          <w:color w:val="000000"/>
          <w:lang w:bidi="zh-CN"/>
        </w:rPr>
        <w:t>9  技术支撑服务要求：</w:t>
      </w:r>
    </w:p>
    <w:p>
      <w:pPr>
        <w:tabs>
          <w:tab w:val="left" w:pos="1401"/>
        </w:tabs>
        <w:autoSpaceDE w:val="0"/>
        <w:autoSpaceDN w:val="0"/>
        <w:spacing w:line="360" w:lineRule="auto"/>
        <w:ind w:right="1014" w:firstLine="525" w:firstLineChars="250"/>
        <w:jc w:val="left"/>
        <w:rPr>
          <w:rFonts w:ascii="宋体" w:hAnsi="宋体"/>
        </w:rPr>
      </w:pPr>
      <w:r>
        <w:rPr>
          <w:rFonts w:hint="eastAsia" w:ascii="宋体" w:hAnsi="宋体"/>
        </w:rPr>
        <w:t xml:space="preserve">9.1  </w:t>
      </w:r>
      <w:r>
        <w:rPr>
          <w:rFonts w:ascii="宋体" w:hAnsi="宋体"/>
        </w:rPr>
        <w:t>故障案例分析服务：二级以上系统故障需定期提供故障案例分析服务，其他系统故障按照采购人要求提供典型故障案例分析服务。</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9.2 </w:t>
      </w:r>
      <w:r>
        <w:rPr>
          <w:rFonts w:ascii="宋体" w:hAnsi="宋体"/>
        </w:rPr>
        <w:t>补丁升级服务：根据客户需求提供操作系统及数据库补丁升级服务，确保应用系统安全可靠运行。</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9.3 </w:t>
      </w:r>
      <w:r>
        <w:rPr>
          <w:rFonts w:ascii="宋体" w:hAnsi="宋体"/>
        </w:rPr>
        <w:t>操作系统迁移服务：根据客户需求提供操作系统迁移服务。</w:t>
      </w:r>
    </w:p>
    <w:p>
      <w:pPr>
        <w:spacing w:line="360" w:lineRule="auto"/>
        <w:ind w:left="438"/>
        <w:outlineLvl w:val="0"/>
        <w:rPr>
          <w:rFonts w:ascii="宋体" w:hAnsi="宋体" w:cs="宋体"/>
          <w:b/>
          <w:bCs/>
          <w:color w:val="000000"/>
          <w:lang w:bidi="zh-CN"/>
        </w:rPr>
      </w:pPr>
      <w:r>
        <w:rPr>
          <w:rFonts w:hint="eastAsia" w:ascii="宋体" w:hAnsi="宋体" w:cs="宋体"/>
          <w:b/>
          <w:bCs/>
          <w:color w:val="000000"/>
          <w:lang w:bidi="zh-CN"/>
        </w:rPr>
        <w:t>10 备份及存储服务</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10.1 </w:t>
      </w:r>
      <w:r>
        <w:rPr>
          <w:rFonts w:ascii="宋体" w:hAnsi="宋体"/>
        </w:rPr>
        <w:t>提供备份存储固件升级。</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10.2 </w:t>
      </w:r>
      <w:r>
        <w:rPr>
          <w:rFonts w:ascii="宋体" w:hAnsi="宋体"/>
        </w:rPr>
        <w:t>提供虚拟机备份实施。</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10.3 </w:t>
      </w:r>
      <w:r>
        <w:rPr>
          <w:rFonts w:ascii="宋体" w:hAnsi="宋体"/>
        </w:rPr>
        <w:t>提供虚拟带库复制到远程对应的软、硬件服务。</w:t>
      </w:r>
    </w:p>
    <w:p>
      <w:pPr>
        <w:tabs>
          <w:tab w:val="left" w:pos="1401"/>
        </w:tabs>
        <w:autoSpaceDE w:val="0"/>
        <w:autoSpaceDN w:val="0"/>
        <w:spacing w:before="1" w:line="360" w:lineRule="auto"/>
        <w:ind w:firstLine="525" w:firstLineChars="250"/>
        <w:jc w:val="left"/>
        <w:rPr>
          <w:rFonts w:ascii="宋体" w:hAnsi="宋体"/>
        </w:rPr>
      </w:pPr>
      <w:r>
        <w:rPr>
          <w:rFonts w:hint="eastAsia" w:ascii="宋体" w:hAnsi="宋体"/>
        </w:rPr>
        <w:t xml:space="preserve">10.4 </w:t>
      </w:r>
      <w:r>
        <w:rPr>
          <w:rFonts w:ascii="宋体" w:hAnsi="宋体"/>
        </w:rPr>
        <w:t>提供在线备用容灾存储（全闪存容量不少于3T，普通存储不少于20T）。</w:t>
      </w:r>
    </w:p>
    <w:p>
      <w:pPr>
        <w:tabs>
          <w:tab w:val="left" w:pos="1401"/>
        </w:tabs>
        <w:autoSpaceDE w:val="0"/>
        <w:autoSpaceDN w:val="0"/>
        <w:spacing w:line="360" w:lineRule="auto"/>
        <w:ind w:right="118" w:firstLine="525" w:firstLineChars="250"/>
        <w:jc w:val="left"/>
        <w:rPr>
          <w:rFonts w:ascii="宋体" w:hAnsi="宋体"/>
        </w:rPr>
      </w:pPr>
      <w:r>
        <w:rPr>
          <w:rFonts w:hint="eastAsia" w:ascii="宋体" w:hAnsi="宋体"/>
        </w:rPr>
        <w:t>10.5</w:t>
      </w:r>
      <w:r>
        <w:rPr>
          <w:rFonts w:ascii="宋体" w:hAnsi="宋体"/>
        </w:rPr>
        <w:t>采购人对备份数据每月做至少一次完整性、有效性抽查，对于抽查不合格的每次扣除≥10%合同金额；因投标人备份不到位导致严重事故的，投标人应赔付所有合同款项，并承担相应法律责任。</w:t>
      </w:r>
    </w:p>
    <w:p>
      <w:pPr>
        <w:spacing w:line="360" w:lineRule="auto"/>
        <w:ind w:left="438"/>
        <w:outlineLvl w:val="0"/>
        <w:rPr>
          <w:rFonts w:ascii="宋体" w:hAnsi="宋体" w:cs="宋体"/>
          <w:b/>
          <w:bCs/>
          <w:color w:val="000000"/>
          <w:lang w:bidi="zh-CN"/>
        </w:rPr>
      </w:pPr>
      <w:r>
        <w:rPr>
          <w:rFonts w:hint="eastAsia" w:ascii="宋体" w:hAnsi="宋体" w:cs="宋体"/>
          <w:b/>
          <w:bCs/>
          <w:color w:val="000000"/>
          <w:lang w:bidi="zh-CN"/>
        </w:rPr>
        <w:t>11 主动支持服务</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11.1 </w:t>
      </w:r>
      <w:r>
        <w:rPr>
          <w:rFonts w:ascii="宋体" w:hAnsi="宋体"/>
        </w:rPr>
        <w:t>提供VPLEX （Local Metro）RecoverPoint SVC 调整服务，并提供相同案例RecoverPoint恢复文档截图证明。</w:t>
      </w:r>
    </w:p>
    <w:p>
      <w:pPr>
        <w:tabs>
          <w:tab w:val="left" w:pos="1401"/>
        </w:tabs>
        <w:autoSpaceDE w:val="0"/>
        <w:autoSpaceDN w:val="0"/>
        <w:spacing w:before="1" w:line="360" w:lineRule="auto"/>
        <w:ind w:firstLine="525" w:firstLineChars="250"/>
        <w:jc w:val="left"/>
        <w:rPr>
          <w:rFonts w:ascii="宋体" w:hAnsi="宋体"/>
        </w:rPr>
      </w:pPr>
      <w:r>
        <w:rPr>
          <w:rFonts w:hint="eastAsia" w:ascii="宋体" w:hAnsi="宋体"/>
        </w:rPr>
        <w:t xml:space="preserve">11.2 </w:t>
      </w:r>
      <w:r>
        <w:rPr>
          <w:rFonts w:ascii="宋体" w:hAnsi="宋体"/>
        </w:rPr>
        <w:t>中标人提供年度切换演练不少于1次，季度恢复演练不少于4次的技术服务并提供相应报告。</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11.3 </w:t>
      </w:r>
      <w:r>
        <w:rPr>
          <w:rFonts w:ascii="宋体" w:hAnsi="宋体"/>
        </w:rPr>
        <w:t>提供ISILON存储支持服务，并提供固件升级服务。</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11.4 </w:t>
      </w:r>
      <w:r>
        <w:rPr>
          <w:rFonts w:ascii="宋体" w:hAnsi="宋体"/>
        </w:rPr>
        <w:t>中标人在网络安全攻防演练期间提供主机、存储、数据库、虚拟化平台保障服务。</w:t>
      </w:r>
    </w:p>
    <w:p>
      <w:pPr>
        <w:tabs>
          <w:tab w:val="left" w:pos="1401"/>
        </w:tabs>
        <w:autoSpaceDE w:val="0"/>
        <w:autoSpaceDN w:val="0"/>
        <w:spacing w:line="360" w:lineRule="auto"/>
        <w:ind w:right="1014" w:firstLine="525" w:firstLineChars="250"/>
        <w:jc w:val="left"/>
        <w:rPr>
          <w:rFonts w:ascii="宋体" w:hAnsi="宋体"/>
        </w:rPr>
      </w:pPr>
      <w:r>
        <w:rPr>
          <w:rFonts w:hint="eastAsia" w:ascii="宋体" w:hAnsi="宋体"/>
        </w:rPr>
        <w:t xml:space="preserve">11.5 </w:t>
      </w:r>
      <w:r>
        <w:rPr>
          <w:rFonts w:ascii="宋体" w:hAnsi="宋体"/>
        </w:rPr>
        <w:t>中标人提供国家信息系统网络安全等级保护测评工作现场支持服务，并提供主机、操作系统、数据库、虚拟化补丁安装服务。</w:t>
      </w:r>
    </w:p>
    <w:p>
      <w:pPr>
        <w:tabs>
          <w:tab w:val="left" w:pos="1401"/>
        </w:tabs>
        <w:autoSpaceDE w:val="0"/>
        <w:autoSpaceDN w:val="0"/>
        <w:spacing w:line="360" w:lineRule="auto"/>
        <w:ind w:right="1014" w:firstLine="525" w:firstLineChars="250"/>
        <w:jc w:val="left"/>
        <w:rPr>
          <w:rFonts w:ascii="宋体" w:hAnsi="宋体"/>
        </w:rPr>
      </w:pPr>
      <w:r>
        <w:rPr>
          <w:rFonts w:hint="eastAsia" w:ascii="宋体" w:hAnsi="宋体"/>
        </w:rPr>
        <w:t xml:space="preserve">11.6 </w:t>
      </w:r>
      <w:r>
        <w:rPr>
          <w:rFonts w:ascii="宋体" w:hAnsi="宋体"/>
        </w:rPr>
        <w:t>中标人提供电子病历应用水平分级评价、互联互通信息系统成熟度评价建设和国家信息系统网络安全等级保建设和运行过程中的技术支持及相应文档。</w:t>
      </w:r>
    </w:p>
    <w:p>
      <w:pPr>
        <w:tabs>
          <w:tab w:val="left" w:pos="1401"/>
        </w:tabs>
        <w:autoSpaceDE w:val="0"/>
        <w:autoSpaceDN w:val="0"/>
        <w:spacing w:before="1" w:line="360" w:lineRule="auto"/>
        <w:ind w:firstLine="525" w:firstLineChars="250"/>
        <w:jc w:val="left"/>
        <w:rPr>
          <w:rFonts w:ascii="宋体" w:hAnsi="宋体"/>
        </w:rPr>
      </w:pPr>
      <w:r>
        <w:rPr>
          <w:rFonts w:hint="eastAsia" w:ascii="宋体" w:hAnsi="宋体"/>
        </w:rPr>
        <w:t xml:space="preserve">11.7 </w:t>
      </w:r>
      <w:r>
        <w:rPr>
          <w:rFonts w:ascii="宋体" w:hAnsi="宋体"/>
        </w:rPr>
        <w:t>▲中标人提供DP备份软件安装支持升级服务，及虚拟带库升级服务，并提供升级服务</w:t>
      </w:r>
      <w:r>
        <w:rPr>
          <w:rFonts w:hint="eastAsia" w:ascii="宋体" w:hAnsi="宋体"/>
        </w:rPr>
        <w:t>承诺书</w:t>
      </w:r>
      <w:r>
        <w:rPr>
          <w:rFonts w:ascii="宋体" w:hAnsi="宋体"/>
        </w:rPr>
        <w:t>。</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11.8 </w:t>
      </w:r>
      <w:r>
        <w:rPr>
          <w:rFonts w:ascii="宋体" w:hAnsi="宋体"/>
        </w:rPr>
        <w:t>根据采购人需要提供相应的硬件、系统调整支持服务。</w:t>
      </w:r>
    </w:p>
    <w:p>
      <w:pPr>
        <w:tabs>
          <w:tab w:val="left" w:pos="1401"/>
        </w:tabs>
        <w:autoSpaceDE w:val="0"/>
        <w:autoSpaceDN w:val="0"/>
        <w:spacing w:line="360" w:lineRule="auto"/>
        <w:ind w:firstLine="525" w:firstLineChars="250"/>
        <w:jc w:val="left"/>
        <w:rPr>
          <w:rFonts w:ascii="宋体" w:hAnsi="宋体"/>
        </w:rPr>
      </w:pPr>
      <w:r>
        <w:rPr>
          <w:rFonts w:hint="eastAsia" w:ascii="宋体" w:hAnsi="宋体"/>
        </w:rPr>
        <w:t xml:space="preserve">11.9 </w:t>
      </w:r>
      <w:r>
        <w:rPr>
          <w:rFonts w:ascii="宋体" w:hAnsi="宋体"/>
        </w:rPr>
        <w:t>▲中标人承诺提供采购人现有备份存储原厂支持服务1年。</w:t>
      </w:r>
    </w:p>
    <w:p>
      <w:pPr>
        <w:autoSpaceDE w:val="0"/>
        <w:autoSpaceDN w:val="0"/>
        <w:spacing w:before="2" w:line="360" w:lineRule="auto"/>
        <w:jc w:val="left"/>
        <w:rPr>
          <w:rFonts w:ascii="宋体" w:hAnsi="宋体"/>
        </w:rPr>
      </w:pPr>
      <w:r>
        <w:rPr>
          <w:rFonts w:hint="eastAsia" w:ascii="宋体" w:hAnsi="宋体"/>
        </w:rPr>
        <w:t xml:space="preserve"> 11.10 </w:t>
      </w:r>
      <w:r>
        <w:rPr>
          <w:rFonts w:ascii="宋体" w:hAnsi="宋体"/>
        </w:rPr>
        <w:t>根据原厂要求进行硬件固件版本升级服务，支持存储EMC（VPLEX、VNX、Unity）、IBM（V3700）、Y W（EDA2100、YWVTL）主机：HP X86服务器、联想 X86服务器、华为X86服务器、DELL X86服务器、LENOVO X86等。</w:t>
      </w:r>
    </w:p>
    <w:p>
      <w:pPr>
        <w:tabs>
          <w:tab w:val="left" w:pos="1442"/>
        </w:tabs>
        <w:autoSpaceDE w:val="0"/>
        <w:autoSpaceDN w:val="0"/>
        <w:spacing w:before="37" w:line="360" w:lineRule="auto"/>
        <w:ind w:firstLine="525" w:firstLineChars="250"/>
        <w:jc w:val="left"/>
        <w:rPr>
          <w:rFonts w:ascii="宋体" w:hAnsi="宋体"/>
        </w:rPr>
      </w:pPr>
      <w:r>
        <w:rPr>
          <w:rFonts w:hint="eastAsia" w:ascii="宋体" w:hAnsi="宋体"/>
        </w:rPr>
        <w:t xml:space="preserve">11.11 </w:t>
      </w:r>
      <w:r>
        <w:rPr>
          <w:rFonts w:ascii="宋体" w:hAnsi="宋体"/>
        </w:rPr>
        <w:t>提供虚拟磁带库复制到远程灾备机房服务，并提供对应的软、硬件维护服务。</w:t>
      </w:r>
    </w:p>
    <w:p>
      <w:pPr>
        <w:tabs>
          <w:tab w:val="left" w:pos="1442"/>
        </w:tabs>
        <w:autoSpaceDE w:val="0"/>
        <w:autoSpaceDN w:val="0"/>
        <w:spacing w:line="360" w:lineRule="auto"/>
        <w:ind w:firstLine="525" w:firstLineChars="250"/>
        <w:jc w:val="left"/>
        <w:rPr>
          <w:rFonts w:ascii="宋体" w:hAnsi="宋体"/>
        </w:rPr>
      </w:pPr>
      <w:r>
        <w:rPr>
          <w:rFonts w:hint="eastAsia" w:ascii="宋体" w:hAnsi="宋体"/>
        </w:rPr>
        <w:t xml:space="preserve">11.12 </w:t>
      </w:r>
      <w:r>
        <w:rPr>
          <w:rFonts w:ascii="宋体" w:hAnsi="宋体"/>
        </w:rPr>
        <w:t>提供核心虚拟化环境备份实施，涵盖现有在用的所有业务系统。</w:t>
      </w:r>
    </w:p>
    <w:p>
      <w:pPr>
        <w:tabs>
          <w:tab w:val="left" w:pos="1442"/>
        </w:tabs>
        <w:autoSpaceDE w:val="0"/>
        <w:autoSpaceDN w:val="0"/>
        <w:spacing w:before="1" w:line="360" w:lineRule="auto"/>
        <w:ind w:firstLine="525" w:firstLineChars="250"/>
        <w:jc w:val="left"/>
        <w:rPr>
          <w:rFonts w:ascii="宋体" w:hAnsi="宋体"/>
        </w:rPr>
      </w:pPr>
      <w:r>
        <w:rPr>
          <w:rFonts w:hint="eastAsia" w:ascii="宋体" w:hAnsi="宋体"/>
        </w:rPr>
        <w:t xml:space="preserve">11.13 </w:t>
      </w:r>
      <w:r>
        <w:rPr>
          <w:rFonts w:ascii="宋体" w:hAnsi="宋体"/>
        </w:rPr>
        <w:t>核心业务应用系统数据库提供备份巡检服务，具体要求：</w:t>
      </w:r>
    </w:p>
    <w:p>
      <w:pPr>
        <w:numPr>
          <w:ilvl w:val="0"/>
          <w:numId w:val="13"/>
        </w:numPr>
        <w:tabs>
          <w:tab w:val="left" w:pos="1203"/>
        </w:tabs>
        <w:autoSpaceDE w:val="0"/>
        <w:autoSpaceDN w:val="0"/>
        <w:spacing w:line="360" w:lineRule="auto"/>
        <w:ind w:hanging="423"/>
        <w:rPr>
          <w:rFonts w:ascii="宋体" w:hAnsi="宋体"/>
        </w:rPr>
      </w:pPr>
      <w:r>
        <w:rPr>
          <w:rFonts w:ascii="宋体" w:hAnsi="宋体"/>
        </w:rPr>
        <w:t>HIS系统：每</w:t>
      </w:r>
      <w:r>
        <w:rPr>
          <w:rFonts w:hint="eastAsia" w:ascii="宋体" w:hAnsi="宋体"/>
        </w:rPr>
        <w:t>天</w:t>
      </w:r>
      <w:r>
        <w:rPr>
          <w:rFonts w:ascii="宋体" w:hAnsi="宋体"/>
        </w:rPr>
        <w:t>全备、每天增量备份、恢复时间6小时、保留2个月。</w:t>
      </w:r>
    </w:p>
    <w:p>
      <w:pPr>
        <w:numPr>
          <w:ilvl w:val="0"/>
          <w:numId w:val="13"/>
        </w:numPr>
        <w:tabs>
          <w:tab w:val="left" w:pos="1203"/>
        </w:tabs>
        <w:autoSpaceDE w:val="0"/>
        <w:autoSpaceDN w:val="0"/>
        <w:spacing w:line="360" w:lineRule="auto"/>
        <w:ind w:hanging="423"/>
        <w:rPr>
          <w:rFonts w:ascii="宋体" w:hAnsi="宋体"/>
        </w:rPr>
      </w:pPr>
      <w:r>
        <w:rPr>
          <w:rFonts w:ascii="宋体" w:hAnsi="宋体"/>
        </w:rPr>
        <w:t>LIS系统：每</w:t>
      </w:r>
      <w:r>
        <w:rPr>
          <w:rFonts w:hint="eastAsia" w:ascii="宋体" w:hAnsi="宋体"/>
        </w:rPr>
        <w:t>天</w:t>
      </w:r>
      <w:r>
        <w:rPr>
          <w:rFonts w:ascii="宋体" w:hAnsi="宋体"/>
        </w:rPr>
        <w:t>全备、每天增量备份、恢复时间3小时、保留2个月。</w:t>
      </w:r>
    </w:p>
    <w:p>
      <w:pPr>
        <w:numPr>
          <w:ilvl w:val="0"/>
          <w:numId w:val="13"/>
        </w:numPr>
        <w:tabs>
          <w:tab w:val="left" w:pos="1203"/>
        </w:tabs>
        <w:autoSpaceDE w:val="0"/>
        <w:autoSpaceDN w:val="0"/>
        <w:spacing w:line="360" w:lineRule="auto"/>
        <w:ind w:hanging="423"/>
        <w:rPr>
          <w:rFonts w:ascii="宋体" w:hAnsi="宋体"/>
        </w:rPr>
      </w:pPr>
      <w:r>
        <w:rPr>
          <w:rFonts w:ascii="宋体" w:hAnsi="宋体"/>
        </w:rPr>
        <w:t>ZEMR系统：每</w:t>
      </w:r>
      <w:r>
        <w:rPr>
          <w:rFonts w:hint="eastAsia" w:ascii="宋体" w:hAnsi="宋体"/>
        </w:rPr>
        <w:t>天</w:t>
      </w:r>
      <w:r>
        <w:rPr>
          <w:rFonts w:ascii="宋体" w:hAnsi="宋体"/>
        </w:rPr>
        <w:t>全备、每天增量备份、恢复时间12小时、保留2个月。</w:t>
      </w:r>
    </w:p>
    <w:p>
      <w:pPr>
        <w:numPr>
          <w:ilvl w:val="0"/>
          <w:numId w:val="13"/>
        </w:numPr>
        <w:tabs>
          <w:tab w:val="left" w:pos="1203"/>
        </w:tabs>
        <w:autoSpaceDE w:val="0"/>
        <w:autoSpaceDN w:val="0"/>
        <w:spacing w:line="360" w:lineRule="auto"/>
        <w:ind w:hanging="423"/>
        <w:rPr>
          <w:rFonts w:ascii="宋体" w:hAnsi="宋体"/>
        </w:rPr>
      </w:pPr>
      <w:r>
        <w:rPr>
          <w:rFonts w:ascii="宋体" w:hAnsi="宋体"/>
        </w:rPr>
        <w:t>HIP：每</w:t>
      </w:r>
      <w:r>
        <w:rPr>
          <w:rFonts w:hint="eastAsia" w:ascii="宋体" w:hAnsi="宋体"/>
        </w:rPr>
        <w:t>天</w:t>
      </w:r>
      <w:r>
        <w:rPr>
          <w:rFonts w:ascii="宋体" w:hAnsi="宋体"/>
        </w:rPr>
        <w:t>全备、每天增量备份、恢复时间2小时、保留2个月。</w:t>
      </w:r>
    </w:p>
    <w:p>
      <w:pPr>
        <w:numPr>
          <w:ilvl w:val="0"/>
          <w:numId w:val="13"/>
        </w:numPr>
        <w:tabs>
          <w:tab w:val="left" w:pos="1203"/>
        </w:tabs>
        <w:autoSpaceDE w:val="0"/>
        <w:autoSpaceDN w:val="0"/>
        <w:spacing w:before="1" w:line="360" w:lineRule="auto"/>
        <w:ind w:hanging="423"/>
        <w:rPr>
          <w:rFonts w:ascii="宋体" w:hAnsi="宋体"/>
        </w:rPr>
      </w:pPr>
      <w:r>
        <w:rPr>
          <w:rFonts w:ascii="宋体" w:hAnsi="宋体"/>
        </w:rPr>
        <w:t>PACS系统：每</w:t>
      </w:r>
      <w:r>
        <w:rPr>
          <w:rFonts w:hint="eastAsia" w:ascii="宋体" w:hAnsi="宋体"/>
        </w:rPr>
        <w:t>天</w:t>
      </w:r>
      <w:r>
        <w:rPr>
          <w:rFonts w:ascii="宋体" w:hAnsi="宋体"/>
        </w:rPr>
        <w:t>全备、每天增量备份、恢复时间2小时、保留2个月。</w:t>
      </w:r>
    </w:p>
    <w:p>
      <w:pPr>
        <w:tabs>
          <w:tab w:val="left" w:pos="1484"/>
        </w:tabs>
        <w:autoSpaceDE w:val="0"/>
        <w:autoSpaceDN w:val="0"/>
        <w:spacing w:line="360" w:lineRule="auto"/>
        <w:ind w:right="1025" w:firstLine="525" w:firstLineChars="250"/>
        <w:jc w:val="left"/>
        <w:rPr>
          <w:rFonts w:ascii="宋体" w:hAnsi="宋体"/>
        </w:rPr>
      </w:pPr>
      <w:r>
        <w:rPr>
          <w:rFonts w:hint="eastAsia" w:ascii="宋体" w:hAnsi="宋体"/>
        </w:rPr>
        <w:t xml:space="preserve">11.14 </w:t>
      </w:r>
      <w:r>
        <w:rPr>
          <w:rFonts w:ascii="宋体" w:hAnsi="宋体"/>
        </w:rPr>
        <w:t>▲提供数据中心自动管理平台1</w:t>
      </w:r>
      <w:r>
        <w:rPr>
          <w:rFonts w:hint="eastAsia" w:ascii="宋体" w:hAnsi="宋体"/>
        </w:rPr>
        <w:t>年技术支持及定制化开发，需提供书面承诺。</w:t>
      </w:r>
    </w:p>
    <w:p>
      <w:pPr>
        <w:tabs>
          <w:tab w:val="left" w:pos="1442"/>
        </w:tabs>
        <w:autoSpaceDE w:val="0"/>
        <w:autoSpaceDN w:val="0"/>
        <w:spacing w:line="360" w:lineRule="auto"/>
        <w:ind w:right="-99" w:firstLine="525" w:firstLineChars="250"/>
        <w:jc w:val="left"/>
        <w:rPr>
          <w:rFonts w:ascii="宋体" w:hAnsi="宋体"/>
        </w:rPr>
      </w:pPr>
      <w:r>
        <w:rPr>
          <w:rFonts w:hint="eastAsia" w:ascii="宋体" w:hAnsi="宋体"/>
        </w:rPr>
        <w:t xml:space="preserve">11.15  </w:t>
      </w:r>
      <w:r>
        <w:rPr>
          <w:rFonts w:ascii="宋体" w:hAnsi="宋体"/>
        </w:rPr>
        <w:t>▲提供每周、每月、每季度的服务器重要设施维护报告，并装订成册，内容包含且不限于设备硬件情况、操作系统、数据库软件情况、数据备份日志报告。</w:t>
      </w:r>
    </w:p>
    <w:p>
      <w:pPr>
        <w:tabs>
          <w:tab w:val="left" w:pos="1418"/>
        </w:tabs>
        <w:autoSpaceDE w:val="0"/>
        <w:autoSpaceDN w:val="0"/>
        <w:spacing w:line="360" w:lineRule="auto"/>
        <w:ind w:firstLine="525" w:firstLineChars="250"/>
        <w:jc w:val="left"/>
        <w:rPr>
          <w:rFonts w:ascii="宋体" w:hAnsi="宋体"/>
        </w:rPr>
      </w:pPr>
      <w:r>
        <w:rPr>
          <w:rFonts w:hint="eastAsia" w:ascii="宋体" w:hAnsi="宋体"/>
        </w:rPr>
        <w:t xml:space="preserve">11.17 </w:t>
      </w:r>
      <w:r>
        <w:rPr>
          <w:rFonts w:ascii="宋体" w:hAnsi="宋体"/>
        </w:rPr>
        <w:t>▲提供ESXI支持服务包含（主机及虚拟机）新增、调整、管理、故障支持服务。</w:t>
      </w:r>
    </w:p>
    <w:p>
      <w:pPr>
        <w:tabs>
          <w:tab w:val="left" w:pos="1418"/>
        </w:tabs>
        <w:autoSpaceDE w:val="0"/>
        <w:autoSpaceDN w:val="0"/>
        <w:spacing w:line="360" w:lineRule="auto"/>
        <w:ind w:firstLine="525" w:firstLineChars="250"/>
        <w:jc w:val="left"/>
        <w:rPr>
          <w:rFonts w:ascii="宋体" w:hAnsi="宋体"/>
        </w:rPr>
      </w:pPr>
      <w:r>
        <w:rPr>
          <w:rFonts w:hint="eastAsia" w:ascii="宋体" w:hAnsi="宋体"/>
        </w:rPr>
        <w:t>11.1</w:t>
      </w:r>
      <w:r>
        <w:rPr>
          <w:rFonts w:ascii="宋体" w:hAnsi="宋体"/>
        </w:rPr>
        <w:t>8</w:t>
      </w:r>
      <w:r>
        <w:rPr>
          <w:rFonts w:hint="eastAsia" w:ascii="宋体" w:hAnsi="宋体"/>
        </w:rPr>
        <w:t>每年需提供一次设备灰尘清理服务及静电地板打蜡服务。</w:t>
      </w:r>
    </w:p>
    <w:p>
      <w:pPr>
        <w:tabs>
          <w:tab w:val="left" w:pos="692"/>
        </w:tabs>
        <w:autoSpaceDE w:val="0"/>
        <w:autoSpaceDN w:val="0"/>
        <w:spacing w:before="174" w:line="360" w:lineRule="auto"/>
        <w:ind w:firstLine="422" w:firstLineChars="200"/>
        <w:jc w:val="left"/>
        <w:rPr>
          <w:rFonts w:ascii="宋体" w:hAnsi="宋体"/>
          <w:b/>
        </w:rPr>
      </w:pPr>
      <w:r>
        <w:rPr>
          <w:rFonts w:hint="eastAsia" w:ascii="宋体" w:hAnsi="宋体"/>
          <w:b/>
        </w:rPr>
        <w:t>（二）数据库优化服务</w:t>
      </w:r>
    </w:p>
    <w:p>
      <w:pPr>
        <w:autoSpaceDE w:val="0"/>
        <w:autoSpaceDN w:val="0"/>
        <w:spacing w:before="1"/>
        <w:ind w:left="109"/>
        <w:jc w:val="left"/>
        <w:rPr>
          <w:rFonts w:ascii="宋体" w:hAnsi="宋体"/>
        </w:rPr>
      </w:pPr>
      <w:r>
        <w:rPr>
          <w:rFonts w:ascii="宋体" w:hAnsi="宋体"/>
        </w:rPr>
        <w:t>优化服务内容（提供HIS、EMR、LIS、PACS四大核心数据库性能优化服务）</w:t>
      </w:r>
    </w:p>
    <w:p>
      <w:pPr>
        <w:autoSpaceDE w:val="0"/>
        <w:autoSpaceDN w:val="0"/>
        <w:spacing w:before="11" w:after="1"/>
        <w:jc w:val="left"/>
        <w:rPr>
          <w:rFonts w:ascii="宋体" w:hAnsi="宋体"/>
        </w:rPr>
      </w:pPr>
    </w:p>
    <w:tbl>
      <w:tblPr>
        <w:tblStyle w:val="4"/>
        <w:tblW w:w="9167" w:type="dxa"/>
        <w:tblInd w:w="1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05"/>
        <w:gridCol w:w="7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1805" w:type="dxa"/>
            <w:shd w:val="clear" w:color="auto" w:fill="auto"/>
          </w:tcPr>
          <w:p>
            <w:pPr>
              <w:autoSpaceDE w:val="0"/>
              <w:autoSpaceDN w:val="0"/>
              <w:spacing w:before="4"/>
              <w:jc w:val="left"/>
              <w:rPr>
                <w:rFonts w:ascii="宋体" w:hAnsi="宋体"/>
              </w:rPr>
            </w:pPr>
          </w:p>
          <w:p>
            <w:pPr>
              <w:autoSpaceDE w:val="0"/>
              <w:autoSpaceDN w:val="0"/>
              <w:ind w:left="703" w:right="711"/>
              <w:jc w:val="center"/>
              <w:rPr>
                <w:rFonts w:ascii="宋体" w:hAnsi="宋体"/>
              </w:rPr>
            </w:pPr>
            <w:r>
              <w:rPr>
                <w:rFonts w:hint="eastAsia" w:ascii="宋体" w:hAnsi="宋体"/>
              </w:rPr>
              <w:t>序号</w:t>
            </w:r>
          </w:p>
        </w:tc>
        <w:tc>
          <w:tcPr>
            <w:tcW w:w="7362" w:type="dxa"/>
            <w:shd w:val="clear" w:color="auto" w:fill="auto"/>
          </w:tcPr>
          <w:p>
            <w:pPr>
              <w:autoSpaceDE w:val="0"/>
              <w:autoSpaceDN w:val="0"/>
              <w:spacing w:before="4"/>
              <w:jc w:val="left"/>
              <w:rPr>
                <w:rFonts w:ascii="宋体" w:hAnsi="宋体"/>
              </w:rPr>
            </w:pPr>
          </w:p>
          <w:p>
            <w:pPr>
              <w:autoSpaceDE w:val="0"/>
              <w:autoSpaceDN w:val="0"/>
              <w:ind w:left="3263" w:right="2645"/>
              <w:jc w:val="center"/>
              <w:rPr>
                <w:rFonts w:ascii="宋体" w:hAnsi="宋体"/>
              </w:rPr>
            </w:pPr>
            <w:r>
              <w:rPr>
                <w:rFonts w:hint="eastAsia" w:ascii="宋体" w:hAnsi="宋体"/>
              </w:rPr>
              <w:t>服务内容描述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3" w:hRule="atLeast"/>
        </w:trPr>
        <w:tc>
          <w:tcPr>
            <w:tcW w:w="1805" w:type="dxa"/>
            <w:shd w:val="clear" w:color="auto" w:fill="auto"/>
          </w:tcPr>
          <w:p>
            <w:pPr>
              <w:autoSpaceDE w:val="0"/>
              <w:autoSpaceDN w:val="0"/>
              <w:spacing w:before="12"/>
              <w:jc w:val="left"/>
              <w:rPr>
                <w:rFonts w:ascii="宋体" w:hAnsi="宋体"/>
              </w:rPr>
            </w:pPr>
          </w:p>
          <w:p>
            <w:pPr>
              <w:autoSpaceDE w:val="0"/>
              <w:autoSpaceDN w:val="0"/>
              <w:ind w:right="2"/>
              <w:jc w:val="center"/>
              <w:rPr>
                <w:rFonts w:ascii="宋体" w:hAnsi="宋体"/>
              </w:rPr>
            </w:pPr>
            <w:r>
              <w:rPr>
                <w:rFonts w:ascii="宋体" w:hAnsi="宋体"/>
              </w:rPr>
              <w:t>1</w:t>
            </w:r>
          </w:p>
        </w:tc>
        <w:tc>
          <w:tcPr>
            <w:tcW w:w="7362" w:type="dxa"/>
            <w:shd w:val="clear" w:color="auto" w:fill="auto"/>
          </w:tcPr>
          <w:p>
            <w:pPr>
              <w:autoSpaceDE w:val="0"/>
              <w:autoSpaceDN w:val="0"/>
              <w:spacing w:before="6"/>
              <w:jc w:val="left"/>
              <w:rPr>
                <w:rFonts w:ascii="宋体" w:hAnsi="宋体"/>
              </w:rPr>
            </w:pPr>
          </w:p>
          <w:p>
            <w:pPr>
              <w:autoSpaceDE w:val="0"/>
              <w:autoSpaceDN w:val="0"/>
              <w:spacing w:line="280" w:lineRule="auto"/>
              <w:ind w:left="76" w:right="75"/>
              <w:jc w:val="left"/>
              <w:rPr>
                <w:rFonts w:ascii="宋体" w:hAnsi="宋体"/>
              </w:rPr>
            </w:pPr>
            <w:r>
              <w:rPr>
                <w:rFonts w:ascii="宋体" w:hAnsi="宋体"/>
              </w:rPr>
              <w:t>服务期内提供一套具有自主知识产权的数据库智能监管平台，对四大核心数据库进行自动化系统检查及预防性维护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1805" w:type="dxa"/>
            <w:shd w:val="clear" w:color="auto" w:fill="auto"/>
          </w:tcPr>
          <w:p>
            <w:pPr>
              <w:autoSpaceDE w:val="0"/>
              <w:autoSpaceDN w:val="0"/>
              <w:spacing w:before="11"/>
              <w:jc w:val="left"/>
              <w:rPr>
                <w:rFonts w:ascii="宋体" w:hAnsi="宋体"/>
              </w:rPr>
            </w:pPr>
          </w:p>
          <w:p>
            <w:pPr>
              <w:autoSpaceDE w:val="0"/>
              <w:autoSpaceDN w:val="0"/>
              <w:ind w:left="16"/>
              <w:jc w:val="center"/>
              <w:rPr>
                <w:rFonts w:ascii="宋体" w:hAnsi="宋体"/>
              </w:rPr>
            </w:pPr>
            <w:r>
              <w:rPr>
                <w:rFonts w:ascii="宋体" w:hAnsi="宋体"/>
              </w:rPr>
              <w:t>2</w:t>
            </w:r>
          </w:p>
        </w:tc>
        <w:tc>
          <w:tcPr>
            <w:tcW w:w="7362" w:type="dxa"/>
            <w:shd w:val="clear" w:color="auto" w:fill="auto"/>
          </w:tcPr>
          <w:p>
            <w:pPr>
              <w:autoSpaceDE w:val="0"/>
              <w:autoSpaceDN w:val="0"/>
              <w:spacing w:before="6"/>
              <w:jc w:val="left"/>
              <w:rPr>
                <w:rFonts w:ascii="宋体" w:hAnsi="宋体"/>
              </w:rPr>
            </w:pPr>
          </w:p>
          <w:p>
            <w:pPr>
              <w:autoSpaceDE w:val="0"/>
              <w:autoSpaceDN w:val="0"/>
              <w:ind w:left="76"/>
              <w:jc w:val="left"/>
              <w:rPr>
                <w:rFonts w:ascii="宋体" w:hAnsi="宋体"/>
              </w:rPr>
            </w:pPr>
            <w:r>
              <w:rPr>
                <w:rFonts w:ascii="宋体" w:hAnsi="宋体"/>
              </w:rPr>
              <w:t>提供4次数据库性能优化服务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1805" w:type="dxa"/>
            <w:shd w:val="clear" w:color="auto" w:fill="auto"/>
          </w:tcPr>
          <w:p>
            <w:pPr>
              <w:autoSpaceDE w:val="0"/>
              <w:autoSpaceDN w:val="0"/>
              <w:spacing w:before="11"/>
              <w:jc w:val="left"/>
              <w:rPr>
                <w:rFonts w:ascii="宋体" w:hAnsi="宋体"/>
              </w:rPr>
            </w:pPr>
          </w:p>
          <w:p>
            <w:pPr>
              <w:autoSpaceDE w:val="0"/>
              <w:autoSpaceDN w:val="0"/>
              <w:ind w:left="16"/>
              <w:jc w:val="center"/>
              <w:rPr>
                <w:rFonts w:ascii="宋体" w:hAnsi="宋体"/>
              </w:rPr>
            </w:pPr>
            <w:r>
              <w:rPr>
                <w:rFonts w:ascii="宋体" w:hAnsi="宋体"/>
              </w:rPr>
              <w:t>3</w:t>
            </w:r>
          </w:p>
        </w:tc>
        <w:tc>
          <w:tcPr>
            <w:tcW w:w="7362" w:type="dxa"/>
            <w:shd w:val="clear" w:color="auto" w:fill="auto"/>
          </w:tcPr>
          <w:p>
            <w:pPr>
              <w:autoSpaceDE w:val="0"/>
              <w:autoSpaceDN w:val="0"/>
              <w:spacing w:before="6"/>
              <w:jc w:val="left"/>
              <w:rPr>
                <w:rFonts w:ascii="宋体" w:hAnsi="宋体"/>
              </w:rPr>
            </w:pPr>
          </w:p>
          <w:p>
            <w:pPr>
              <w:autoSpaceDE w:val="0"/>
              <w:autoSpaceDN w:val="0"/>
              <w:ind w:left="76"/>
              <w:jc w:val="left"/>
              <w:rPr>
                <w:rFonts w:ascii="宋体" w:hAnsi="宋体"/>
              </w:rPr>
            </w:pPr>
            <w:r>
              <w:rPr>
                <w:rFonts w:ascii="宋体" w:hAnsi="宋体"/>
              </w:rPr>
              <w:t>提供每个季度一次的现场健康性检查及书面巡检报告输出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trPr>
        <w:tc>
          <w:tcPr>
            <w:tcW w:w="1805" w:type="dxa"/>
            <w:shd w:val="clear" w:color="auto" w:fill="auto"/>
          </w:tcPr>
          <w:p>
            <w:pPr>
              <w:autoSpaceDE w:val="0"/>
              <w:autoSpaceDN w:val="0"/>
              <w:spacing w:before="11"/>
              <w:jc w:val="left"/>
              <w:rPr>
                <w:rFonts w:ascii="宋体" w:hAnsi="宋体"/>
              </w:rPr>
            </w:pPr>
          </w:p>
          <w:p>
            <w:pPr>
              <w:autoSpaceDE w:val="0"/>
              <w:autoSpaceDN w:val="0"/>
              <w:ind w:left="16"/>
              <w:jc w:val="center"/>
              <w:rPr>
                <w:rFonts w:ascii="宋体" w:hAnsi="宋体"/>
              </w:rPr>
            </w:pPr>
            <w:r>
              <w:rPr>
                <w:rFonts w:ascii="宋体" w:hAnsi="宋体"/>
              </w:rPr>
              <w:t>4</w:t>
            </w:r>
          </w:p>
        </w:tc>
        <w:tc>
          <w:tcPr>
            <w:tcW w:w="7362" w:type="dxa"/>
            <w:shd w:val="clear" w:color="auto" w:fill="auto"/>
          </w:tcPr>
          <w:p>
            <w:pPr>
              <w:autoSpaceDE w:val="0"/>
              <w:autoSpaceDN w:val="0"/>
              <w:spacing w:before="6"/>
              <w:jc w:val="left"/>
              <w:rPr>
                <w:rFonts w:ascii="宋体" w:hAnsi="宋体"/>
              </w:rPr>
            </w:pPr>
          </w:p>
          <w:p>
            <w:pPr>
              <w:autoSpaceDE w:val="0"/>
              <w:autoSpaceDN w:val="0"/>
              <w:ind w:left="76"/>
              <w:jc w:val="left"/>
              <w:rPr>
                <w:rFonts w:ascii="宋体" w:hAnsi="宋体"/>
              </w:rPr>
            </w:pPr>
            <w:r>
              <w:rPr>
                <w:rFonts w:ascii="宋体" w:hAnsi="宋体"/>
              </w:rPr>
              <w:t>提供7*24小时的电话、邮件、微信等技术咨询服务。</w:t>
            </w:r>
          </w:p>
        </w:tc>
      </w:tr>
    </w:tbl>
    <w:p>
      <w:pPr>
        <w:tabs>
          <w:tab w:val="left" w:pos="876"/>
        </w:tabs>
        <w:autoSpaceDE w:val="0"/>
        <w:autoSpaceDN w:val="0"/>
        <w:spacing w:before="1" w:line="360" w:lineRule="auto"/>
        <w:ind w:firstLine="630" w:firstLineChars="300"/>
        <w:jc w:val="left"/>
        <w:rPr>
          <w:rFonts w:ascii="宋体" w:hAnsi="宋体"/>
        </w:rPr>
      </w:pPr>
      <w:r>
        <w:rPr>
          <w:rFonts w:hint="eastAsia" w:ascii="宋体" w:hAnsi="宋体"/>
        </w:rPr>
        <w:t xml:space="preserve">1 </w:t>
      </w:r>
      <w:r>
        <w:rPr>
          <w:rFonts w:ascii="宋体" w:hAnsi="宋体"/>
        </w:rPr>
        <w:t>使用国产自主品牌软件，具有国产化软件著作权证书，提供全中文操作管理界面。</w:t>
      </w:r>
    </w:p>
    <w:p>
      <w:pPr>
        <w:tabs>
          <w:tab w:val="left" w:pos="876"/>
        </w:tabs>
        <w:autoSpaceDE w:val="0"/>
        <w:autoSpaceDN w:val="0"/>
        <w:spacing w:line="360" w:lineRule="auto"/>
        <w:ind w:left="498" w:leftChars="237" w:right="-625" w:firstLine="105" w:firstLineChars="50"/>
        <w:jc w:val="left"/>
        <w:rPr>
          <w:rFonts w:ascii="宋体" w:hAnsi="宋体"/>
        </w:rPr>
      </w:pPr>
      <w:r>
        <w:rPr>
          <w:rFonts w:hint="eastAsia" w:ascii="宋体" w:hAnsi="宋体"/>
        </w:rPr>
        <w:t xml:space="preserve">2 </w:t>
      </w:r>
      <w:r>
        <w:rPr>
          <w:rFonts w:ascii="宋体" w:hAnsi="宋体"/>
        </w:rPr>
        <w:t>支持自定义监控大屏所需监控的节点，例如自定义大屏的名称、模板，可增删改所主屏需要监控的数据库或主机节点。</w:t>
      </w:r>
    </w:p>
    <w:p>
      <w:pPr>
        <w:tabs>
          <w:tab w:val="left" w:pos="876"/>
        </w:tabs>
        <w:autoSpaceDE w:val="0"/>
        <w:autoSpaceDN w:val="0"/>
        <w:spacing w:line="360" w:lineRule="auto"/>
        <w:ind w:left="498" w:leftChars="237" w:right="-241" w:firstLine="105" w:firstLineChars="50"/>
        <w:jc w:val="left"/>
        <w:rPr>
          <w:rFonts w:ascii="宋体" w:hAnsi="宋体"/>
        </w:rPr>
      </w:pPr>
      <w:r>
        <w:rPr>
          <w:rFonts w:hint="eastAsia" w:ascii="宋体" w:hAnsi="宋体"/>
        </w:rPr>
        <w:t xml:space="preserve">3 </w:t>
      </w:r>
      <w:r>
        <w:rPr>
          <w:rFonts w:ascii="宋体" w:hAnsi="宋体"/>
        </w:rPr>
        <w:t>▲能够实时采集数据库实时负载，要求db_time和db_cpu这两项核心负载指标能够在同一图形中叠加显示以便直观  区分工作负载与有效负载，要求该指标实时采集间隔不低于1分钟，能够在曲线图中任意点击一个开始点和一个结束点，可自动生成该时间区段的ASH数据库性能负载分析报告。提供以上全部功能的操作界面截图。</w:t>
      </w:r>
    </w:p>
    <w:p>
      <w:pPr>
        <w:tabs>
          <w:tab w:val="left" w:pos="876"/>
          <w:tab w:val="left" w:pos="8647"/>
        </w:tabs>
        <w:autoSpaceDE w:val="0"/>
        <w:autoSpaceDN w:val="0"/>
        <w:spacing w:before="37" w:line="360" w:lineRule="auto"/>
        <w:ind w:left="498" w:leftChars="237" w:right="-99" w:firstLine="105" w:firstLineChars="50"/>
        <w:jc w:val="left"/>
        <w:rPr>
          <w:rFonts w:ascii="宋体" w:hAnsi="宋体"/>
        </w:rPr>
      </w:pPr>
      <w:r>
        <w:rPr>
          <w:rFonts w:hint="eastAsia" w:ascii="宋体" w:hAnsi="宋体"/>
        </w:rPr>
        <w:t xml:space="preserve">4 </w:t>
      </w:r>
      <w:r>
        <w:rPr>
          <w:rFonts w:ascii="宋体" w:hAnsi="宋体"/>
        </w:rPr>
        <w:t>能够显示最消耗系统资源的TOP SQL语句，要求能够在TOP页面单击关联出相关SQL语句的内容、执行计划和SQ L分析报告，以便进行性能挖掘分析。提供可以在TOP  SQL文本中点击关联出进一步查看SQL执行计划和SQL分析报告的， 功能操作界面截图。</w:t>
      </w:r>
    </w:p>
    <w:p>
      <w:pPr>
        <w:tabs>
          <w:tab w:val="left" w:pos="876"/>
        </w:tabs>
        <w:autoSpaceDE w:val="0"/>
        <w:autoSpaceDN w:val="0"/>
        <w:spacing w:line="360" w:lineRule="auto"/>
        <w:ind w:firstLine="630" w:firstLineChars="300"/>
        <w:jc w:val="left"/>
        <w:rPr>
          <w:rFonts w:ascii="宋体" w:hAnsi="宋体"/>
        </w:rPr>
      </w:pPr>
      <w:r>
        <w:rPr>
          <w:rFonts w:hint="eastAsia" w:ascii="宋体" w:hAnsi="宋体"/>
        </w:rPr>
        <w:t xml:space="preserve">5 </w:t>
      </w:r>
      <w:r>
        <w:rPr>
          <w:rFonts w:ascii="宋体" w:hAnsi="宋体"/>
        </w:rPr>
        <w:t>提供阻塞链管理功能，以图形方式清楚展示从阻塞源头进程到被阻塞进程的完整路径及所对应的实例号和进程号</w:t>
      </w:r>
    </w:p>
    <w:p>
      <w:pPr>
        <w:autoSpaceDE w:val="0"/>
        <w:autoSpaceDN w:val="0"/>
        <w:spacing w:before="5" w:line="360" w:lineRule="auto"/>
        <w:ind w:left="109"/>
        <w:jc w:val="left"/>
        <w:rPr>
          <w:rFonts w:ascii="宋体" w:hAnsi="宋体"/>
        </w:rPr>
      </w:pPr>
      <w:r>
        <w:rPr>
          <w:rFonts w:ascii="宋体" w:hAnsi="宋体"/>
        </w:rPr>
        <w:t>。提供查看阻塞与被阻塞进程关系链路图谱功能的操作界面截图。</w:t>
      </w:r>
    </w:p>
    <w:p>
      <w:pPr>
        <w:tabs>
          <w:tab w:val="left" w:pos="876"/>
        </w:tabs>
        <w:autoSpaceDE w:val="0"/>
        <w:autoSpaceDN w:val="0"/>
        <w:spacing w:line="360" w:lineRule="auto"/>
        <w:ind w:left="498" w:leftChars="237" w:right="-99" w:firstLine="105" w:firstLineChars="50"/>
        <w:jc w:val="left"/>
        <w:rPr>
          <w:rFonts w:ascii="宋体" w:hAnsi="宋体"/>
        </w:rPr>
      </w:pPr>
      <w:r>
        <w:rPr>
          <w:rFonts w:hint="eastAsia" w:ascii="宋体" w:hAnsi="宋体"/>
        </w:rPr>
        <w:t xml:space="preserve">6 </w:t>
      </w:r>
      <w:r>
        <w:rPr>
          <w:rFonts w:ascii="宋体" w:hAnsi="宋体"/>
        </w:rPr>
        <w:t>▲提供分类等待事件钻取分析功能，能够在分类等待事件趋势曲线上直接点击一键生成当前时段的AWR数据库性    能负载报告。提供以上功能的操作界面截图。</w:t>
      </w:r>
    </w:p>
    <w:p>
      <w:r>
        <w:rPr>
          <w:rFonts w:hint="eastAsia" w:ascii="宋体" w:hAnsi="宋体"/>
        </w:rPr>
        <w:t xml:space="preserve">7 </w:t>
      </w:r>
      <w:r>
        <w:rPr>
          <w:rFonts w:ascii="宋体" w:hAnsi="宋体"/>
        </w:rPr>
        <w:t>提供表空间自动预测功能，能够监控显示的表空间信息至少包括表空间名、表空间状态、表空间大小、剩余空间、实际百分比、理论百分比、可扩展大小、实际可用天数、理论可用天数等完整信息，能够根据表空间的可扩展情况自动分析表空间的理论可用天数与实际可用天数。提供预测表空间理论可用和实际可用天数截图，提供显示表空间理论占用百分比和实际占用百分比的截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66C1F"/>
    <w:multiLevelType w:val="multilevel"/>
    <w:tmpl w:val="05466C1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582D8F"/>
    <w:multiLevelType w:val="multilevel"/>
    <w:tmpl w:val="09582D8F"/>
    <w:lvl w:ilvl="0" w:tentative="0">
      <w:start w:val="1"/>
      <w:numFmt w:val="upperLetter"/>
      <w:lvlText w:val="%1、"/>
      <w:lvlJc w:val="left"/>
      <w:pPr>
        <w:ind w:left="380" w:hanging="3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6657EE"/>
    <w:multiLevelType w:val="multilevel"/>
    <w:tmpl w:val="106657EE"/>
    <w:lvl w:ilvl="0" w:tentative="0">
      <w:start w:val="1"/>
      <w:numFmt w:val="decimal"/>
      <w:lvlText w:val="（%1）"/>
      <w:lvlJc w:val="left"/>
      <w:pPr>
        <w:ind w:left="866" w:hanging="422"/>
      </w:pPr>
      <w:rPr>
        <w:rFonts w:hint="default" w:ascii="Arial Unicode MS" w:hAnsi="Arial Unicode MS" w:eastAsia="Arial Unicode MS" w:cs="Arial Unicode MS"/>
        <w:spacing w:val="-7"/>
        <w:w w:val="90"/>
        <w:sz w:val="14"/>
        <w:szCs w:val="14"/>
        <w:lang w:val="zh-CN" w:eastAsia="zh-CN" w:bidi="zh-CN"/>
      </w:rPr>
    </w:lvl>
    <w:lvl w:ilvl="1" w:tentative="0">
      <w:start w:val="0"/>
      <w:numFmt w:val="bullet"/>
      <w:lvlText w:val="•"/>
      <w:lvlJc w:val="left"/>
      <w:pPr>
        <w:ind w:left="1788" w:hanging="422"/>
      </w:pPr>
      <w:rPr>
        <w:rFonts w:hint="default"/>
        <w:lang w:val="zh-CN" w:eastAsia="zh-CN" w:bidi="zh-CN"/>
      </w:rPr>
    </w:lvl>
    <w:lvl w:ilvl="2" w:tentative="0">
      <w:start w:val="0"/>
      <w:numFmt w:val="bullet"/>
      <w:lvlText w:val="•"/>
      <w:lvlJc w:val="left"/>
      <w:pPr>
        <w:ind w:left="2716" w:hanging="422"/>
      </w:pPr>
      <w:rPr>
        <w:rFonts w:hint="default"/>
        <w:lang w:val="zh-CN" w:eastAsia="zh-CN" w:bidi="zh-CN"/>
      </w:rPr>
    </w:lvl>
    <w:lvl w:ilvl="3" w:tentative="0">
      <w:start w:val="0"/>
      <w:numFmt w:val="bullet"/>
      <w:lvlText w:val="•"/>
      <w:lvlJc w:val="left"/>
      <w:pPr>
        <w:ind w:left="3644" w:hanging="422"/>
      </w:pPr>
      <w:rPr>
        <w:rFonts w:hint="default"/>
        <w:lang w:val="zh-CN" w:eastAsia="zh-CN" w:bidi="zh-CN"/>
      </w:rPr>
    </w:lvl>
    <w:lvl w:ilvl="4" w:tentative="0">
      <w:start w:val="0"/>
      <w:numFmt w:val="bullet"/>
      <w:lvlText w:val="•"/>
      <w:lvlJc w:val="left"/>
      <w:pPr>
        <w:ind w:left="4572" w:hanging="422"/>
      </w:pPr>
      <w:rPr>
        <w:rFonts w:hint="default"/>
        <w:lang w:val="zh-CN" w:eastAsia="zh-CN" w:bidi="zh-CN"/>
      </w:rPr>
    </w:lvl>
    <w:lvl w:ilvl="5" w:tentative="0">
      <w:start w:val="0"/>
      <w:numFmt w:val="bullet"/>
      <w:lvlText w:val="•"/>
      <w:lvlJc w:val="left"/>
      <w:pPr>
        <w:ind w:left="5500" w:hanging="422"/>
      </w:pPr>
      <w:rPr>
        <w:rFonts w:hint="default"/>
        <w:lang w:val="zh-CN" w:eastAsia="zh-CN" w:bidi="zh-CN"/>
      </w:rPr>
    </w:lvl>
    <w:lvl w:ilvl="6" w:tentative="0">
      <w:start w:val="0"/>
      <w:numFmt w:val="bullet"/>
      <w:lvlText w:val="•"/>
      <w:lvlJc w:val="left"/>
      <w:pPr>
        <w:ind w:left="6428" w:hanging="422"/>
      </w:pPr>
      <w:rPr>
        <w:rFonts w:hint="default"/>
        <w:lang w:val="zh-CN" w:eastAsia="zh-CN" w:bidi="zh-CN"/>
      </w:rPr>
    </w:lvl>
    <w:lvl w:ilvl="7" w:tentative="0">
      <w:start w:val="0"/>
      <w:numFmt w:val="bullet"/>
      <w:lvlText w:val="•"/>
      <w:lvlJc w:val="left"/>
      <w:pPr>
        <w:ind w:left="7356" w:hanging="422"/>
      </w:pPr>
      <w:rPr>
        <w:rFonts w:hint="default"/>
        <w:lang w:val="zh-CN" w:eastAsia="zh-CN" w:bidi="zh-CN"/>
      </w:rPr>
    </w:lvl>
    <w:lvl w:ilvl="8" w:tentative="0">
      <w:start w:val="0"/>
      <w:numFmt w:val="bullet"/>
      <w:lvlText w:val="•"/>
      <w:lvlJc w:val="left"/>
      <w:pPr>
        <w:ind w:left="8284" w:hanging="422"/>
      </w:pPr>
      <w:rPr>
        <w:rFonts w:hint="default"/>
        <w:lang w:val="zh-CN" w:eastAsia="zh-CN" w:bidi="zh-CN"/>
      </w:rPr>
    </w:lvl>
  </w:abstractNum>
  <w:abstractNum w:abstractNumId="3">
    <w:nsid w:val="1B222778"/>
    <w:multiLevelType w:val="multilevel"/>
    <w:tmpl w:val="1B222778"/>
    <w:lvl w:ilvl="0" w:tentative="0">
      <w:start w:val="1"/>
      <w:numFmt w:val="decimal"/>
      <w:lvlText w:val="（%1）"/>
      <w:lvlJc w:val="left"/>
      <w:pPr>
        <w:ind w:left="109" w:hanging="422"/>
      </w:pPr>
      <w:rPr>
        <w:rFonts w:hint="default" w:ascii="Arial Unicode MS" w:hAnsi="Arial Unicode MS" w:eastAsia="Arial Unicode MS" w:cs="Arial Unicode MS"/>
        <w:spacing w:val="-7"/>
        <w:w w:val="90"/>
        <w:sz w:val="14"/>
        <w:szCs w:val="14"/>
        <w:lang w:val="zh-CN" w:eastAsia="zh-CN" w:bidi="zh-CN"/>
      </w:rPr>
    </w:lvl>
    <w:lvl w:ilvl="1" w:tentative="0">
      <w:start w:val="0"/>
      <w:numFmt w:val="bullet"/>
      <w:lvlText w:val="•"/>
      <w:lvlJc w:val="left"/>
      <w:pPr>
        <w:ind w:left="1104" w:hanging="422"/>
      </w:pPr>
      <w:rPr>
        <w:rFonts w:hint="default"/>
        <w:lang w:val="zh-CN" w:eastAsia="zh-CN" w:bidi="zh-CN"/>
      </w:rPr>
    </w:lvl>
    <w:lvl w:ilvl="2" w:tentative="0">
      <w:start w:val="0"/>
      <w:numFmt w:val="bullet"/>
      <w:lvlText w:val="•"/>
      <w:lvlJc w:val="left"/>
      <w:pPr>
        <w:ind w:left="2108" w:hanging="422"/>
      </w:pPr>
      <w:rPr>
        <w:rFonts w:hint="default"/>
        <w:lang w:val="zh-CN" w:eastAsia="zh-CN" w:bidi="zh-CN"/>
      </w:rPr>
    </w:lvl>
    <w:lvl w:ilvl="3" w:tentative="0">
      <w:start w:val="0"/>
      <w:numFmt w:val="bullet"/>
      <w:lvlText w:val="•"/>
      <w:lvlJc w:val="left"/>
      <w:pPr>
        <w:ind w:left="3112" w:hanging="422"/>
      </w:pPr>
      <w:rPr>
        <w:rFonts w:hint="default"/>
        <w:lang w:val="zh-CN" w:eastAsia="zh-CN" w:bidi="zh-CN"/>
      </w:rPr>
    </w:lvl>
    <w:lvl w:ilvl="4" w:tentative="0">
      <w:start w:val="0"/>
      <w:numFmt w:val="bullet"/>
      <w:lvlText w:val="•"/>
      <w:lvlJc w:val="left"/>
      <w:pPr>
        <w:ind w:left="4116" w:hanging="422"/>
      </w:pPr>
      <w:rPr>
        <w:rFonts w:hint="default"/>
        <w:lang w:val="zh-CN" w:eastAsia="zh-CN" w:bidi="zh-CN"/>
      </w:rPr>
    </w:lvl>
    <w:lvl w:ilvl="5" w:tentative="0">
      <w:start w:val="0"/>
      <w:numFmt w:val="bullet"/>
      <w:lvlText w:val="•"/>
      <w:lvlJc w:val="left"/>
      <w:pPr>
        <w:ind w:left="5120" w:hanging="422"/>
      </w:pPr>
      <w:rPr>
        <w:rFonts w:hint="default"/>
        <w:lang w:val="zh-CN" w:eastAsia="zh-CN" w:bidi="zh-CN"/>
      </w:rPr>
    </w:lvl>
    <w:lvl w:ilvl="6" w:tentative="0">
      <w:start w:val="0"/>
      <w:numFmt w:val="bullet"/>
      <w:lvlText w:val="•"/>
      <w:lvlJc w:val="left"/>
      <w:pPr>
        <w:ind w:left="6124" w:hanging="422"/>
      </w:pPr>
      <w:rPr>
        <w:rFonts w:hint="default"/>
        <w:lang w:val="zh-CN" w:eastAsia="zh-CN" w:bidi="zh-CN"/>
      </w:rPr>
    </w:lvl>
    <w:lvl w:ilvl="7" w:tentative="0">
      <w:start w:val="0"/>
      <w:numFmt w:val="bullet"/>
      <w:lvlText w:val="•"/>
      <w:lvlJc w:val="left"/>
      <w:pPr>
        <w:ind w:left="7128" w:hanging="422"/>
      </w:pPr>
      <w:rPr>
        <w:rFonts w:hint="default"/>
        <w:lang w:val="zh-CN" w:eastAsia="zh-CN" w:bidi="zh-CN"/>
      </w:rPr>
    </w:lvl>
    <w:lvl w:ilvl="8" w:tentative="0">
      <w:start w:val="0"/>
      <w:numFmt w:val="bullet"/>
      <w:lvlText w:val="•"/>
      <w:lvlJc w:val="left"/>
      <w:pPr>
        <w:ind w:left="8132" w:hanging="422"/>
      </w:pPr>
      <w:rPr>
        <w:rFonts w:hint="default"/>
        <w:lang w:val="zh-CN" w:eastAsia="zh-CN" w:bidi="zh-CN"/>
      </w:rPr>
    </w:lvl>
  </w:abstractNum>
  <w:abstractNum w:abstractNumId="4">
    <w:nsid w:val="1EED1366"/>
    <w:multiLevelType w:val="multilevel"/>
    <w:tmpl w:val="1EED1366"/>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B03B37"/>
    <w:multiLevelType w:val="multilevel"/>
    <w:tmpl w:val="3AB03B37"/>
    <w:lvl w:ilvl="0" w:tentative="0">
      <w:start w:val="1"/>
      <w:numFmt w:val="decimal"/>
      <w:lvlText w:val="（%1）"/>
      <w:lvlJc w:val="left"/>
      <w:pPr>
        <w:ind w:left="1202" w:hanging="422"/>
      </w:pPr>
      <w:rPr>
        <w:rFonts w:hint="default" w:ascii="Arial Unicode MS" w:hAnsi="Arial Unicode MS" w:eastAsia="Arial Unicode MS" w:cs="Arial Unicode MS"/>
        <w:spacing w:val="-7"/>
        <w:w w:val="90"/>
        <w:sz w:val="14"/>
        <w:szCs w:val="14"/>
        <w:lang w:val="zh-CN" w:eastAsia="zh-CN" w:bidi="zh-CN"/>
      </w:rPr>
    </w:lvl>
    <w:lvl w:ilvl="1" w:tentative="0">
      <w:start w:val="0"/>
      <w:numFmt w:val="bullet"/>
      <w:lvlText w:val="•"/>
      <w:lvlJc w:val="left"/>
      <w:pPr>
        <w:ind w:left="2094" w:hanging="422"/>
      </w:pPr>
      <w:rPr>
        <w:rFonts w:hint="default"/>
        <w:lang w:val="zh-CN" w:eastAsia="zh-CN" w:bidi="zh-CN"/>
      </w:rPr>
    </w:lvl>
    <w:lvl w:ilvl="2" w:tentative="0">
      <w:start w:val="0"/>
      <w:numFmt w:val="bullet"/>
      <w:lvlText w:val="•"/>
      <w:lvlJc w:val="left"/>
      <w:pPr>
        <w:ind w:left="2988" w:hanging="422"/>
      </w:pPr>
      <w:rPr>
        <w:rFonts w:hint="default"/>
        <w:lang w:val="zh-CN" w:eastAsia="zh-CN" w:bidi="zh-CN"/>
      </w:rPr>
    </w:lvl>
    <w:lvl w:ilvl="3" w:tentative="0">
      <w:start w:val="0"/>
      <w:numFmt w:val="bullet"/>
      <w:lvlText w:val="•"/>
      <w:lvlJc w:val="left"/>
      <w:pPr>
        <w:ind w:left="3882" w:hanging="422"/>
      </w:pPr>
      <w:rPr>
        <w:rFonts w:hint="default"/>
        <w:lang w:val="zh-CN" w:eastAsia="zh-CN" w:bidi="zh-CN"/>
      </w:rPr>
    </w:lvl>
    <w:lvl w:ilvl="4" w:tentative="0">
      <w:start w:val="0"/>
      <w:numFmt w:val="bullet"/>
      <w:lvlText w:val="•"/>
      <w:lvlJc w:val="left"/>
      <w:pPr>
        <w:ind w:left="4776" w:hanging="422"/>
      </w:pPr>
      <w:rPr>
        <w:rFonts w:hint="default"/>
        <w:lang w:val="zh-CN" w:eastAsia="zh-CN" w:bidi="zh-CN"/>
      </w:rPr>
    </w:lvl>
    <w:lvl w:ilvl="5" w:tentative="0">
      <w:start w:val="0"/>
      <w:numFmt w:val="bullet"/>
      <w:lvlText w:val="•"/>
      <w:lvlJc w:val="left"/>
      <w:pPr>
        <w:ind w:left="5670" w:hanging="422"/>
      </w:pPr>
      <w:rPr>
        <w:rFonts w:hint="default"/>
        <w:lang w:val="zh-CN" w:eastAsia="zh-CN" w:bidi="zh-CN"/>
      </w:rPr>
    </w:lvl>
    <w:lvl w:ilvl="6" w:tentative="0">
      <w:start w:val="0"/>
      <w:numFmt w:val="bullet"/>
      <w:lvlText w:val="•"/>
      <w:lvlJc w:val="left"/>
      <w:pPr>
        <w:ind w:left="6564" w:hanging="422"/>
      </w:pPr>
      <w:rPr>
        <w:rFonts w:hint="default"/>
        <w:lang w:val="zh-CN" w:eastAsia="zh-CN" w:bidi="zh-CN"/>
      </w:rPr>
    </w:lvl>
    <w:lvl w:ilvl="7" w:tentative="0">
      <w:start w:val="0"/>
      <w:numFmt w:val="bullet"/>
      <w:lvlText w:val="•"/>
      <w:lvlJc w:val="left"/>
      <w:pPr>
        <w:ind w:left="7458" w:hanging="422"/>
      </w:pPr>
      <w:rPr>
        <w:rFonts w:hint="default"/>
        <w:lang w:val="zh-CN" w:eastAsia="zh-CN" w:bidi="zh-CN"/>
      </w:rPr>
    </w:lvl>
    <w:lvl w:ilvl="8" w:tentative="0">
      <w:start w:val="0"/>
      <w:numFmt w:val="bullet"/>
      <w:lvlText w:val="•"/>
      <w:lvlJc w:val="left"/>
      <w:pPr>
        <w:ind w:left="8352" w:hanging="422"/>
      </w:pPr>
      <w:rPr>
        <w:rFonts w:hint="default"/>
        <w:lang w:val="zh-CN" w:eastAsia="zh-CN" w:bidi="zh-CN"/>
      </w:rPr>
    </w:lvl>
  </w:abstractNum>
  <w:abstractNum w:abstractNumId="6">
    <w:nsid w:val="3B503643"/>
    <w:multiLevelType w:val="multilevel"/>
    <w:tmpl w:val="3B503643"/>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4750359"/>
    <w:multiLevelType w:val="multilevel"/>
    <w:tmpl w:val="44750359"/>
    <w:lvl w:ilvl="0" w:tentative="0">
      <w:start w:val="1"/>
      <w:numFmt w:val="decimal"/>
      <w:lvlText w:val="（%1）"/>
      <w:lvlJc w:val="left"/>
      <w:pPr>
        <w:ind w:left="1202" w:hanging="422"/>
      </w:pPr>
      <w:rPr>
        <w:rFonts w:hint="default" w:ascii="Arial Unicode MS" w:hAnsi="Arial Unicode MS" w:eastAsia="Arial Unicode MS" w:cs="Arial Unicode MS"/>
        <w:spacing w:val="-7"/>
        <w:w w:val="90"/>
        <w:sz w:val="14"/>
        <w:szCs w:val="14"/>
        <w:lang w:val="zh-CN" w:eastAsia="zh-CN" w:bidi="zh-CN"/>
      </w:rPr>
    </w:lvl>
    <w:lvl w:ilvl="1" w:tentative="0">
      <w:start w:val="0"/>
      <w:numFmt w:val="bullet"/>
      <w:lvlText w:val="•"/>
      <w:lvlJc w:val="left"/>
      <w:pPr>
        <w:ind w:left="2094" w:hanging="422"/>
      </w:pPr>
      <w:rPr>
        <w:rFonts w:hint="default"/>
        <w:lang w:val="zh-CN" w:eastAsia="zh-CN" w:bidi="zh-CN"/>
      </w:rPr>
    </w:lvl>
    <w:lvl w:ilvl="2" w:tentative="0">
      <w:start w:val="0"/>
      <w:numFmt w:val="bullet"/>
      <w:lvlText w:val="•"/>
      <w:lvlJc w:val="left"/>
      <w:pPr>
        <w:ind w:left="2988" w:hanging="422"/>
      </w:pPr>
      <w:rPr>
        <w:rFonts w:hint="default"/>
        <w:lang w:val="zh-CN" w:eastAsia="zh-CN" w:bidi="zh-CN"/>
      </w:rPr>
    </w:lvl>
    <w:lvl w:ilvl="3" w:tentative="0">
      <w:start w:val="0"/>
      <w:numFmt w:val="bullet"/>
      <w:lvlText w:val="•"/>
      <w:lvlJc w:val="left"/>
      <w:pPr>
        <w:ind w:left="3882" w:hanging="422"/>
      </w:pPr>
      <w:rPr>
        <w:rFonts w:hint="default"/>
        <w:lang w:val="zh-CN" w:eastAsia="zh-CN" w:bidi="zh-CN"/>
      </w:rPr>
    </w:lvl>
    <w:lvl w:ilvl="4" w:tentative="0">
      <w:start w:val="0"/>
      <w:numFmt w:val="bullet"/>
      <w:lvlText w:val="•"/>
      <w:lvlJc w:val="left"/>
      <w:pPr>
        <w:ind w:left="4776" w:hanging="422"/>
      </w:pPr>
      <w:rPr>
        <w:rFonts w:hint="default"/>
        <w:lang w:val="zh-CN" w:eastAsia="zh-CN" w:bidi="zh-CN"/>
      </w:rPr>
    </w:lvl>
    <w:lvl w:ilvl="5" w:tentative="0">
      <w:start w:val="0"/>
      <w:numFmt w:val="bullet"/>
      <w:lvlText w:val="•"/>
      <w:lvlJc w:val="left"/>
      <w:pPr>
        <w:ind w:left="5670" w:hanging="422"/>
      </w:pPr>
      <w:rPr>
        <w:rFonts w:hint="default"/>
        <w:lang w:val="zh-CN" w:eastAsia="zh-CN" w:bidi="zh-CN"/>
      </w:rPr>
    </w:lvl>
    <w:lvl w:ilvl="6" w:tentative="0">
      <w:start w:val="0"/>
      <w:numFmt w:val="bullet"/>
      <w:lvlText w:val="•"/>
      <w:lvlJc w:val="left"/>
      <w:pPr>
        <w:ind w:left="6564" w:hanging="422"/>
      </w:pPr>
      <w:rPr>
        <w:rFonts w:hint="default"/>
        <w:lang w:val="zh-CN" w:eastAsia="zh-CN" w:bidi="zh-CN"/>
      </w:rPr>
    </w:lvl>
    <w:lvl w:ilvl="7" w:tentative="0">
      <w:start w:val="0"/>
      <w:numFmt w:val="bullet"/>
      <w:lvlText w:val="•"/>
      <w:lvlJc w:val="left"/>
      <w:pPr>
        <w:ind w:left="7458" w:hanging="422"/>
      </w:pPr>
      <w:rPr>
        <w:rFonts w:hint="default"/>
        <w:lang w:val="zh-CN" w:eastAsia="zh-CN" w:bidi="zh-CN"/>
      </w:rPr>
    </w:lvl>
    <w:lvl w:ilvl="8" w:tentative="0">
      <w:start w:val="0"/>
      <w:numFmt w:val="bullet"/>
      <w:lvlText w:val="•"/>
      <w:lvlJc w:val="left"/>
      <w:pPr>
        <w:ind w:left="8352" w:hanging="422"/>
      </w:pPr>
      <w:rPr>
        <w:rFonts w:hint="default"/>
        <w:lang w:val="zh-CN" w:eastAsia="zh-CN" w:bidi="zh-CN"/>
      </w:rPr>
    </w:lvl>
  </w:abstractNum>
  <w:abstractNum w:abstractNumId="8">
    <w:nsid w:val="457D079F"/>
    <w:multiLevelType w:val="multilevel"/>
    <w:tmpl w:val="457D079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2CB7F7A"/>
    <w:multiLevelType w:val="multilevel"/>
    <w:tmpl w:val="52CB7F7A"/>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726286"/>
    <w:multiLevelType w:val="multilevel"/>
    <w:tmpl w:val="54726286"/>
    <w:lvl w:ilvl="0" w:tentative="0">
      <w:start w:val="1"/>
      <w:numFmt w:val="decimal"/>
      <w:lvlText w:val="%1."/>
      <w:lvlJc w:val="left"/>
      <w:pPr>
        <w:ind w:left="858" w:hanging="420"/>
      </w:pPr>
      <w:rPr>
        <w:rFonts w:hint="default" w:ascii="Times New Roman" w:hAnsi="Times New Roman" w:eastAsia="Times New Roman" w:cs="Times New Roman"/>
        <w:spacing w:val="-7"/>
        <w:w w:val="89"/>
        <w:sz w:val="18"/>
        <w:szCs w:val="18"/>
        <w:lang w:val="zh-CN" w:eastAsia="zh-CN" w:bidi="zh-CN"/>
      </w:rPr>
    </w:lvl>
    <w:lvl w:ilvl="1" w:tentative="0">
      <w:start w:val="1"/>
      <w:numFmt w:val="lowerLetter"/>
      <w:lvlText w:val="%2)"/>
      <w:lvlJc w:val="left"/>
      <w:pPr>
        <w:ind w:left="1278" w:hanging="420"/>
      </w:pPr>
    </w:lvl>
    <w:lvl w:ilvl="2" w:tentative="0">
      <w:start w:val="1"/>
      <w:numFmt w:val="lowerRoman"/>
      <w:lvlText w:val="%3."/>
      <w:lvlJc w:val="right"/>
      <w:pPr>
        <w:ind w:left="1698" w:hanging="420"/>
      </w:pPr>
    </w:lvl>
    <w:lvl w:ilvl="3" w:tentative="0">
      <w:start w:val="1"/>
      <w:numFmt w:val="decimal"/>
      <w:lvlText w:val="%4."/>
      <w:lvlJc w:val="left"/>
      <w:pPr>
        <w:ind w:left="2118" w:hanging="420"/>
      </w:pPr>
    </w:lvl>
    <w:lvl w:ilvl="4" w:tentative="0">
      <w:start w:val="1"/>
      <w:numFmt w:val="lowerLetter"/>
      <w:lvlText w:val="%5)"/>
      <w:lvlJc w:val="left"/>
      <w:pPr>
        <w:ind w:left="2538" w:hanging="420"/>
      </w:pPr>
    </w:lvl>
    <w:lvl w:ilvl="5" w:tentative="0">
      <w:start w:val="1"/>
      <w:numFmt w:val="lowerRoman"/>
      <w:lvlText w:val="%6."/>
      <w:lvlJc w:val="right"/>
      <w:pPr>
        <w:ind w:left="2958" w:hanging="420"/>
      </w:pPr>
    </w:lvl>
    <w:lvl w:ilvl="6" w:tentative="0">
      <w:start w:val="1"/>
      <w:numFmt w:val="decimal"/>
      <w:lvlText w:val="%7."/>
      <w:lvlJc w:val="left"/>
      <w:pPr>
        <w:ind w:left="3378" w:hanging="420"/>
      </w:pPr>
    </w:lvl>
    <w:lvl w:ilvl="7" w:tentative="0">
      <w:start w:val="1"/>
      <w:numFmt w:val="lowerLetter"/>
      <w:lvlText w:val="%8)"/>
      <w:lvlJc w:val="left"/>
      <w:pPr>
        <w:ind w:left="3798" w:hanging="420"/>
      </w:pPr>
    </w:lvl>
    <w:lvl w:ilvl="8" w:tentative="0">
      <w:start w:val="1"/>
      <w:numFmt w:val="lowerRoman"/>
      <w:lvlText w:val="%9."/>
      <w:lvlJc w:val="right"/>
      <w:pPr>
        <w:ind w:left="4218" w:hanging="420"/>
      </w:pPr>
    </w:lvl>
  </w:abstractNum>
  <w:abstractNum w:abstractNumId="11">
    <w:nsid w:val="651F2F60"/>
    <w:multiLevelType w:val="multilevel"/>
    <w:tmpl w:val="651F2F60"/>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FB70EA5"/>
    <w:multiLevelType w:val="multilevel"/>
    <w:tmpl w:val="6FB70EA5"/>
    <w:lvl w:ilvl="0" w:tentative="0">
      <w:start w:val="1"/>
      <w:numFmt w:val="decimal"/>
      <w:lvlText w:val="（%1）"/>
      <w:lvlJc w:val="left"/>
      <w:pPr>
        <w:ind w:left="1202" w:hanging="422"/>
      </w:pPr>
      <w:rPr>
        <w:rFonts w:hint="default" w:ascii="Arial Unicode MS" w:hAnsi="Arial Unicode MS" w:eastAsia="Arial Unicode MS" w:cs="Arial Unicode MS"/>
        <w:spacing w:val="-7"/>
        <w:w w:val="90"/>
        <w:sz w:val="14"/>
        <w:szCs w:val="14"/>
        <w:lang w:val="zh-CN" w:eastAsia="zh-CN" w:bidi="zh-CN"/>
      </w:rPr>
    </w:lvl>
    <w:lvl w:ilvl="1" w:tentative="0">
      <w:start w:val="0"/>
      <w:numFmt w:val="bullet"/>
      <w:lvlText w:val="•"/>
      <w:lvlJc w:val="left"/>
      <w:pPr>
        <w:ind w:left="2094" w:hanging="422"/>
      </w:pPr>
      <w:rPr>
        <w:rFonts w:hint="default"/>
        <w:lang w:val="zh-CN" w:eastAsia="zh-CN" w:bidi="zh-CN"/>
      </w:rPr>
    </w:lvl>
    <w:lvl w:ilvl="2" w:tentative="0">
      <w:start w:val="0"/>
      <w:numFmt w:val="bullet"/>
      <w:lvlText w:val="•"/>
      <w:lvlJc w:val="left"/>
      <w:pPr>
        <w:ind w:left="2988" w:hanging="422"/>
      </w:pPr>
      <w:rPr>
        <w:rFonts w:hint="default"/>
        <w:lang w:val="zh-CN" w:eastAsia="zh-CN" w:bidi="zh-CN"/>
      </w:rPr>
    </w:lvl>
    <w:lvl w:ilvl="3" w:tentative="0">
      <w:start w:val="0"/>
      <w:numFmt w:val="bullet"/>
      <w:lvlText w:val="•"/>
      <w:lvlJc w:val="left"/>
      <w:pPr>
        <w:ind w:left="3882" w:hanging="422"/>
      </w:pPr>
      <w:rPr>
        <w:rFonts w:hint="default"/>
        <w:lang w:val="zh-CN" w:eastAsia="zh-CN" w:bidi="zh-CN"/>
      </w:rPr>
    </w:lvl>
    <w:lvl w:ilvl="4" w:tentative="0">
      <w:start w:val="0"/>
      <w:numFmt w:val="bullet"/>
      <w:lvlText w:val="•"/>
      <w:lvlJc w:val="left"/>
      <w:pPr>
        <w:ind w:left="4776" w:hanging="422"/>
      </w:pPr>
      <w:rPr>
        <w:rFonts w:hint="default"/>
        <w:lang w:val="zh-CN" w:eastAsia="zh-CN" w:bidi="zh-CN"/>
      </w:rPr>
    </w:lvl>
    <w:lvl w:ilvl="5" w:tentative="0">
      <w:start w:val="0"/>
      <w:numFmt w:val="bullet"/>
      <w:lvlText w:val="•"/>
      <w:lvlJc w:val="left"/>
      <w:pPr>
        <w:ind w:left="5670" w:hanging="422"/>
      </w:pPr>
      <w:rPr>
        <w:rFonts w:hint="default"/>
        <w:lang w:val="zh-CN" w:eastAsia="zh-CN" w:bidi="zh-CN"/>
      </w:rPr>
    </w:lvl>
    <w:lvl w:ilvl="6" w:tentative="0">
      <w:start w:val="0"/>
      <w:numFmt w:val="bullet"/>
      <w:lvlText w:val="•"/>
      <w:lvlJc w:val="left"/>
      <w:pPr>
        <w:ind w:left="6564" w:hanging="422"/>
      </w:pPr>
      <w:rPr>
        <w:rFonts w:hint="default"/>
        <w:lang w:val="zh-CN" w:eastAsia="zh-CN" w:bidi="zh-CN"/>
      </w:rPr>
    </w:lvl>
    <w:lvl w:ilvl="7" w:tentative="0">
      <w:start w:val="0"/>
      <w:numFmt w:val="bullet"/>
      <w:lvlText w:val="•"/>
      <w:lvlJc w:val="left"/>
      <w:pPr>
        <w:ind w:left="7458" w:hanging="422"/>
      </w:pPr>
      <w:rPr>
        <w:rFonts w:hint="default"/>
        <w:lang w:val="zh-CN" w:eastAsia="zh-CN" w:bidi="zh-CN"/>
      </w:rPr>
    </w:lvl>
    <w:lvl w:ilvl="8" w:tentative="0">
      <w:start w:val="0"/>
      <w:numFmt w:val="bullet"/>
      <w:lvlText w:val="•"/>
      <w:lvlJc w:val="left"/>
      <w:pPr>
        <w:ind w:left="8352" w:hanging="422"/>
      </w:pPr>
      <w:rPr>
        <w:rFonts w:hint="default"/>
        <w:lang w:val="zh-CN" w:eastAsia="zh-CN" w:bidi="zh-CN"/>
      </w:rPr>
    </w:lvl>
  </w:abstractNum>
  <w:num w:numId="1">
    <w:abstractNumId w:val="6"/>
  </w:num>
  <w:num w:numId="2">
    <w:abstractNumId w:val="4"/>
  </w:num>
  <w:num w:numId="3">
    <w:abstractNumId w:val="0"/>
  </w:num>
  <w:num w:numId="4">
    <w:abstractNumId w:val="11"/>
  </w:num>
  <w:num w:numId="5">
    <w:abstractNumId w:val="8"/>
  </w:num>
  <w:num w:numId="6">
    <w:abstractNumId w:val="1"/>
  </w:num>
  <w:num w:numId="7">
    <w:abstractNumId w:val="9"/>
  </w:num>
  <w:num w:numId="8">
    <w:abstractNumId w:val="10"/>
  </w:num>
  <w:num w:numId="9">
    <w:abstractNumId w:val="12"/>
  </w:num>
  <w:num w:numId="10">
    <w:abstractNumId w:val="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5ZTFmNDZlMGIwNGZjOTMzOWNlYWJjZjk1MWY0YWEifQ=="/>
  </w:docVars>
  <w:rsids>
    <w:rsidRoot w:val="00494B41"/>
    <w:rsid w:val="00157F4A"/>
    <w:rsid w:val="002C1A8D"/>
    <w:rsid w:val="002D785F"/>
    <w:rsid w:val="00494B41"/>
    <w:rsid w:val="00571865"/>
    <w:rsid w:val="006A67D5"/>
    <w:rsid w:val="006A77EB"/>
    <w:rsid w:val="00F22131"/>
    <w:rsid w:val="3482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803</Words>
  <Characters>4581</Characters>
  <Lines>38</Lines>
  <Paragraphs>10</Paragraphs>
  <TotalTime>0</TotalTime>
  <ScaleCrop>false</ScaleCrop>
  <LinksUpToDate>false</LinksUpToDate>
  <CharactersWithSpaces>5374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2024-04-08T07:02:00Z</dcterms:created>
  <dc:creator>罗延敦</dc:creator>
  <cp:lastModifiedBy>王伟毅</cp:lastModifiedBy>
  <cp:lastPrinted>2024-04-11T08:05:21Z</cp:lastPrinted>
  <dcterms:modified xsi:type="dcterms:W3CDTF">2024-04-11T08:12:54Z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862F51804059457AA40D3C10DDC6F02B_12</vt:lpwstr>
  </property>
</Properties>
</file>