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Theme="majorEastAsia" w:hAnsiTheme="majorEastAsia" w:eastAsiaTheme="majorEastAsia" w:cstheme="majorEastAsia"/>
          <w:sz w:val="44"/>
          <w:szCs w:val="44"/>
        </w:rPr>
        <w:t>厦门市中医院</w:t>
      </w:r>
    </w:p>
    <w:p>
      <w:pPr>
        <w:ind w:firstLine="1446" w:firstLineChars="400"/>
        <w:rPr>
          <w:rFonts w:ascii="宋体" w:hAnsi="宋体" w:eastAsia="宋体" w:cs="宋体"/>
          <w:b/>
          <w:sz w:val="36"/>
          <w:szCs w:val="36"/>
        </w:rPr>
      </w:pPr>
      <w:r>
        <w:rPr>
          <w:rFonts w:hint="eastAsia" w:ascii="宋体" w:hAnsi="宋体" w:eastAsia="宋体" w:cs="宋体"/>
          <w:b/>
          <w:sz w:val="36"/>
          <w:szCs w:val="36"/>
        </w:rPr>
        <w:t>直流电源与低压配电框架断路器更换</w:t>
      </w:r>
    </w:p>
    <w:p>
      <w:pPr>
        <w:ind w:firstLine="2891" w:firstLineChars="800"/>
        <w:rPr>
          <w:rFonts w:ascii="宋体" w:hAnsi="宋体" w:eastAsia="宋体" w:cs="宋体"/>
          <w:b/>
          <w:sz w:val="36"/>
          <w:szCs w:val="36"/>
        </w:rPr>
      </w:pPr>
      <w:r>
        <w:rPr>
          <w:rFonts w:hint="eastAsia" w:ascii="宋体" w:hAnsi="宋体" w:eastAsia="宋体" w:cs="宋体"/>
          <w:b/>
          <w:sz w:val="36"/>
          <w:szCs w:val="36"/>
        </w:rPr>
        <w:t>项目招标公告</w:t>
      </w:r>
    </w:p>
    <w:p>
      <w:pPr>
        <w:jc w:val="center"/>
        <w:rPr>
          <w:rFonts w:ascii="方正小标宋简体" w:eastAsia="方正小标宋简体"/>
          <w:sz w:val="44"/>
          <w:szCs w:val="44"/>
        </w:rPr>
      </w:pPr>
      <w:r>
        <w:rPr>
          <w:rFonts w:hint="eastAsia" w:ascii="宋体" w:hAnsi="宋体" w:eastAsia="宋体" w:cs="宋体"/>
          <w:sz w:val="44"/>
          <w:szCs w:val="44"/>
        </w:rPr>
        <w:t>（院内谈判）</w:t>
      </w:r>
    </w:p>
    <w:p>
      <w:pPr>
        <w:jc w:val="left"/>
        <w:rPr>
          <w:rFonts w:ascii="黑体" w:hAnsi="黑体" w:eastAsia="黑体"/>
          <w:sz w:val="32"/>
          <w:szCs w:val="32"/>
        </w:rPr>
      </w:pPr>
      <w:r>
        <w:rPr>
          <w:rFonts w:hint="eastAsia" w:ascii="黑体" w:hAnsi="黑体" w:eastAsia="黑体"/>
          <w:sz w:val="32"/>
          <w:szCs w:val="32"/>
        </w:rPr>
        <w:t>一、说明</w:t>
      </w:r>
    </w:p>
    <w:p>
      <w:pPr>
        <w:ind w:firstLine="640" w:firstLineChars="200"/>
        <w:jc w:val="left"/>
        <w:rPr>
          <w:rFonts w:ascii="仿宋" w:hAnsi="仿宋" w:eastAsia="仿宋"/>
          <w:sz w:val="32"/>
          <w:szCs w:val="32"/>
        </w:rPr>
      </w:pPr>
      <w:r>
        <w:rPr>
          <w:rFonts w:hint="eastAsia" w:ascii="仿宋" w:hAnsi="仿宋" w:eastAsia="仿宋"/>
          <w:sz w:val="32"/>
          <w:szCs w:val="32"/>
        </w:rPr>
        <w:t>1.根据配电房维护需要，我院在巡查配电房的时候发现一台直流电源系统故障，以及空调机房控制室两台框架断路器故障，于近期委面向社会招标采购（院内谈判）2.请有意向参与项目竞标且具备资质的生产企业、经销企业，按以下具体要求备好相关资料，一式两份（请</w:t>
      </w:r>
      <w:bookmarkStart w:id="0" w:name="_GoBack"/>
      <w:bookmarkEnd w:id="0"/>
      <w:r>
        <w:rPr>
          <w:rFonts w:hint="eastAsia" w:ascii="仿宋" w:hAnsi="仿宋" w:eastAsia="仿宋"/>
          <w:sz w:val="32"/>
          <w:szCs w:val="32"/>
        </w:rPr>
        <w:t>按要求递交纸质资料）。于</w:t>
      </w:r>
      <w:r>
        <w:rPr>
          <w:rFonts w:hint="eastAsia" w:ascii="仿宋" w:hAnsi="仿宋" w:eastAsia="仿宋"/>
          <w:b/>
          <w:sz w:val="32"/>
          <w:szCs w:val="32"/>
        </w:rPr>
        <w:t>2023年5月26日下午3点前</w:t>
      </w:r>
      <w:r>
        <w:rPr>
          <w:rFonts w:hint="eastAsia" w:ascii="仿宋" w:hAnsi="仿宋" w:eastAsia="仿宋"/>
          <w:sz w:val="32"/>
          <w:szCs w:val="32"/>
        </w:rPr>
        <w:t>拟于我院住院楼后侧后勤保障部现场开标，现场进行二次报价，资料不全、逾期者，谢绝接受。联系人：苏先生：电话：0592-5579629。</w:t>
      </w:r>
    </w:p>
    <w:p>
      <w:pPr>
        <w:jc w:val="left"/>
        <w:rPr>
          <w:rFonts w:ascii="黑体" w:hAnsi="黑体" w:eastAsia="黑体"/>
          <w:sz w:val="32"/>
          <w:szCs w:val="32"/>
        </w:rPr>
      </w:pPr>
      <w:r>
        <w:rPr>
          <w:rFonts w:hint="eastAsia" w:ascii="黑体" w:hAnsi="黑体" w:eastAsia="黑体"/>
          <w:sz w:val="32"/>
          <w:szCs w:val="32"/>
        </w:rPr>
        <w:t>二、项目内容</w:t>
      </w:r>
    </w:p>
    <w:p>
      <w:pPr>
        <w:pStyle w:val="2"/>
        <w:spacing w:line="400" w:lineRule="exact"/>
        <w:ind w:firstLine="560"/>
        <w:rPr>
          <w:rFonts w:ascii="仿宋" w:hAnsi="仿宋" w:eastAsia="仿宋"/>
          <w:sz w:val="32"/>
          <w:szCs w:val="32"/>
        </w:rPr>
      </w:pPr>
      <w:r>
        <w:rPr>
          <w:rFonts w:hint="eastAsia" w:ascii="仿宋" w:hAnsi="仿宋" w:eastAsia="仿宋"/>
          <w:sz w:val="32"/>
          <w:szCs w:val="32"/>
        </w:rPr>
        <w:t xml:space="preserve">1、项目位于厦门市中医院南区配电房及总院空调机房控制室；项目控制价为 7万元。                   </w:t>
      </w:r>
    </w:p>
    <w:p>
      <w:pPr>
        <w:pStyle w:val="2"/>
        <w:spacing w:line="400" w:lineRule="exact"/>
        <w:rPr>
          <w:rFonts w:ascii="仿宋" w:hAnsi="仿宋" w:eastAsia="仿宋"/>
          <w:sz w:val="32"/>
          <w:szCs w:val="32"/>
        </w:rPr>
      </w:pPr>
      <w:r>
        <w:rPr>
          <w:rFonts w:hint="eastAsia" w:ascii="仿宋" w:hAnsi="仿宋" w:eastAsia="仿宋"/>
          <w:sz w:val="32"/>
          <w:szCs w:val="32"/>
        </w:rPr>
        <w:t>一、低压配框架断路器更换2台。</w:t>
      </w:r>
    </w:p>
    <w:p>
      <w:pPr>
        <w:pStyle w:val="2"/>
        <w:spacing w:line="400" w:lineRule="exact"/>
        <w:rPr>
          <w:rFonts w:ascii="仿宋" w:hAnsi="仿宋" w:eastAsia="仿宋"/>
          <w:sz w:val="32"/>
          <w:szCs w:val="32"/>
        </w:rPr>
      </w:pPr>
      <w:r>
        <w:rPr>
          <w:rFonts w:hint="eastAsia" w:ascii="仿宋" w:hAnsi="仿宋" w:eastAsia="仿宋"/>
          <w:sz w:val="32"/>
          <w:szCs w:val="32"/>
        </w:rPr>
        <w:t>参数列表：</w:t>
      </w:r>
    </w:p>
    <w:tbl>
      <w:tblPr>
        <w:tblStyle w:val="6"/>
        <w:tblpPr w:leftFromText="180" w:rightFromText="180" w:vertAnchor="text" w:horzAnchor="page" w:tblpX="1747" w:tblpY="33"/>
        <w:tblOverlap w:val="never"/>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400"/>
        <w:gridCol w:w="240"/>
        <w:gridCol w:w="2196"/>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42"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级数</w:t>
            </w:r>
          </w:p>
        </w:tc>
        <w:tc>
          <w:tcPr>
            <w:tcW w:w="2400"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3P</w:t>
            </w:r>
          </w:p>
        </w:tc>
        <w:tc>
          <w:tcPr>
            <w:tcW w:w="240" w:type="dxa"/>
            <w:noWrap/>
          </w:tcPr>
          <w:p>
            <w:pPr>
              <w:widowControl/>
              <w:spacing w:line="580" w:lineRule="exact"/>
              <w:jc w:val="center"/>
              <w:rPr>
                <w:rFonts w:ascii="华文仿宋" w:hAnsi="华文仿宋" w:eastAsia="华文仿宋" w:cs="华文仿宋"/>
                <w:sz w:val="24"/>
                <w:szCs w:val="24"/>
              </w:rPr>
            </w:pPr>
          </w:p>
        </w:tc>
        <w:tc>
          <w:tcPr>
            <w:tcW w:w="2196"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额定频率</w:t>
            </w:r>
          </w:p>
        </w:tc>
        <w:tc>
          <w:tcPr>
            <w:tcW w:w="2064"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42"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额定电流</w:t>
            </w:r>
          </w:p>
        </w:tc>
        <w:tc>
          <w:tcPr>
            <w:tcW w:w="2400"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1000A</w:t>
            </w:r>
          </w:p>
        </w:tc>
        <w:tc>
          <w:tcPr>
            <w:tcW w:w="240" w:type="dxa"/>
            <w:noWrap/>
          </w:tcPr>
          <w:p>
            <w:pPr>
              <w:widowControl/>
              <w:spacing w:line="580" w:lineRule="exact"/>
              <w:jc w:val="center"/>
              <w:rPr>
                <w:rFonts w:ascii="华文仿宋" w:hAnsi="华文仿宋" w:eastAsia="华文仿宋" w:cs="华文仿宋"/>
                <w:sz w:val="24"/>
                <w:szCs w:val="24"/>
              </w:rPr>
            </w:pPr>
          </w:p>
        </w:tc>
        <w:tc>
          <w:tcPr>
            <w:tcW w:w="2196"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储能电动机电压</w:t>
            </w:r>
          </w:p>
        </w:tc>
        <w:tc>
          <w:tcPr>
            <w:tcW w:w="2064"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42"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额定工作电压</w:t>
            </w:r>
          </w:p>
        </w:tc>
        <w:tc>
          <w:tcPr>
            <w:tcW w:w="2400"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400V</w:t>
            </w:r>
          </w:p>
        </w:tc>
        <w:tc>
          <w:tcPr>
            <w:tcW w:w="240" w:type="dxa"/>
            <w:noWrap/>
          </w:tcPr>
          <w:p>
            <w:pPr>
              <w:widowControl/>
              <w:spacing w:line="580" w:lineRule="exact"/>
              <w:jc w:val="center"/>
              <w:rPr>
                <w:rFonts w:ascii="华文仿宋" w:hAnsi="华文仿宋" w:eastAsia="华文仿宋" w:cs="华文仿宋"/>
                <w:sz w:val="24"/>
                <w:szCs w:val="24"/>
              </w:rPr>
            </w:pPr>
          </w:p>
        </w:tc>
        <w:tc>
          <w:tcPr>
            <w:tcW w:w="2196"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释放电磁铁电压</w:t>
            </w:r>
          </w:p>
        </w:tc>
        <w:tc>
          <w:tcPr>
            <w:tcW w:w="2064"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42"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操作机构额定电压</w:t>
            </w:r>
          </w:p>
        </w:tc>
        <w:tc>
          <w:tcPr>
            <w:tcW w:w="2400"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c>
          <w:tcPr>
            <w:tcW w:w="240" w:type="dxa"/>
            <w:noWrap/>
          </w:tcPr>
          <w:p>
            <w:pPr>
              <w:widowControl/>
              <w:spacing w:line="580" w:lineRule="exact"/>
              <w:jc w:val="center"/>
              <w:rPr>
                <w:rFonts w:ascii="华文仿宋" w:hAnsi="华文仿宋" w:eastAsia="华文仿宋" w:cs="华文仿宋"/>
                <w:sz w:val="24"/>
                <w:szCs w:val="24"/>
              </w:rPr>
            </w:pPr>
          </w:p>
        </w:tc>
        <w:tc>
          <w:tcPr>
            <w:tcW w:w="2196"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分励脱扣器电压</w:t>
            </w:r>
          </w:p>
        </w:tc>
        <w:tc>
          <w:tcPr>
            <w:tcW w:w="2064"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42"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欠压脱扣器电压</w:t>
            </w:r>
          </w:p>
        </w:tc>
        <w:tc>
          <w:tcPr>
            <w:tcW w:w="2400"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c>
          <w:tcPr>
            <w:tcW w:w="240" w:type="dxa"/>
            <w:noWrap/>
          </w:tcPr>
          <w:p>
            <w:pPr>
              <w:widowControl/>
              <w:spacing w:line="580" w:lineRule="exact"/>
              <w:jc w:val="center"/>
              <w:rPr>
                <w:rFonts w:ascii="华文仿宋" w:hAnsi="华文仿宋" w:eastAsia="华文仿宋" w:cs="华文仿宋"/>
                <w:sz w:val="24"/>
                <w:szCs w:val="24"/>
              </w:rPr>
            </w:pPr>
          </w:p>
        </w:tc>
        <w:tc>
          <w:tcPr>
            <w:tcW w:w="2196"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智能脱扣器电压</w:t>
            </w:r>
          </w:p>
        </w:tc>
        <w:tc>
          <w:tcPr>
            <w:tcW w:w="2064" w:type="dxa"/>
            <w:noWrap/>
          </w:tcPr>
          <w:p>
            <w:pPr>
              <w:widowControl/>
              <w:spacing w:line="580" w:lineRule="exact"/>
              <w:jc w:val="center"/>
              <w:rPr>
                <w:rFonts w:ascii="华文仿宋" w:hAnsi="华文仿宋" w:eastAsia="华文仿宋" w:cs="华文仿宋"/>
                <w:sz w:val="24"/>
                <w:szCs w:val="24"/>
              </w:rPr>
            </w:pPr>
            <w:r>
              <w:rPr>
                <w:rFonts w:hint="eastAsia" w:ascii="华文仿宋" w:hAnsi="华文仿宋" w:eastAsia="华文仿宋" w:cs="华文仿宋"/>
                <w:sz w:val="24"/>
                <w:szCs w:val="24"/>
              </w:rPr>
              <w:t>AC220</w:t>
            </w:r>
          </w:p>
        </w:tc>
      </w:tr>
    </w:tbl>
    <w:p>
      <w:pPr>
        <w:pStyle w:val="2"/>
        <w:spacing w:line="400" w:lineRule="exact"/>
        <w:ind w:firstLine="560"/>
        <w:rPr>
          <w:rFonts w:ascii="仿宋" w:hAnsi="仿宋" w:eastAsia="仿宋"/>
          <w:sz w:val="32"/>
          <w:szCs w:val="32"/>
        </w:rPr>
      </w:pPr>
    </w:p>
    <w:p>
      <w:pPr>
        <w:pStyle w:val="2"/>
        <w:spacing w:line="400" w:lineRule="exact"/>
        <w:ind w:firstLine="560"/>
        <w:rPr>
          <w:rFonts w:ascii="仿宋" w:hAnsi="仿宋" w:eastAsia="仿宋"/>
          <w:sz w:val="32"/>
          <w:szCs w:val="32"/>
        </w:rPr>
      </w:pPr>
    </w:p>
    <w:p>
      <w:pPr>
        <w:pStyle w:val="2"/>
        <w:spacing w:line="400" w:lineRule="exact"/>
        <w:rPr>
          <w:rFonts w:ascii="仿宋" w:hAnsi="仿宋" w:eastAsia="仿宋"/>
          <w:sz w:val="32"/>
          <w:szCs w:val="32"/>
        </w:rPr>
      </w:pPr>
      <w:r>
        <w:rPr>
          <w:rFonts w:hint="eastAsia" w:ascii="仿宋" w:hAnsi="仿宋" w:eastAsia="仿宋"/>
          <w:sz w:val="32"/>
          <w:szCs w:val="32"/>
        </w:rPr>
        <w:t>二、直流屏更换1台：</w:t>
      </w:r>
    </w:p>
    <w:p>
      <w:pPr>
        <w:pStyle w:val="2"/>
        <w:spacing w:line="400" w:lineRule="exact"/>
        <w:rPr>
          <w:rFonts w:ascii="仿宋" w:hAnsi="仿宋" w:eastAsia="仿宋"/>
          <w:sz w:val="32"/>
          <w:szCs w:val="32"/>
        </w:rPr>
      </w:pPr>
      <w:r>
        <w:rPr>
          <w:rFonts w:hint="eastAsia" w:ascii="仿宋" w:hAnsi="仿宋" w:eastAsia="仿宋"/>
          <w:sz w:val="32"/>
          <w:szCs w:val="32"/>
        </w:rPr>
        <w:t>主要的元件与参数列表：</w:t>
      </w:r>
    </w:p>
    <w:tbl>
      <w:tblPr>
        <w:tblStyle w:val="5"/>
        <w:tblW w:w="8985" w:type="dxa"/>
        <w:tblInd w:w="93" w:type="dxa"/>
        <w:tblLayout w:type="autofit"/>
        <w:tblCellMar>
          <w:top w:w="0" w:type="dxa"/>
          <w:left w:w="108" w:type="dxa"/>
          <w:bottom w:w="0" w:type="dxa"/>
          <w:right w:w="108" w:type="dxa"/>
        </w:tblCellMar>
      </w:tblPr>
      <w:tblGrid>
        <w:gridCol w:w="1080"/>
        <w:gridCol w:w="2775"/>
        <w:gridCol w:w="3105"/>
        <w:gridCol w:w="1020"/>
        <w:gridCol w:w="1005"/>
      </w:tblGrid>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组件名称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型号规格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数量</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柜体(高、宽、深)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2260*800*600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胶体蓄电池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40AH12V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智能高频开关模块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220V10A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智能监控器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7寸彩色触摸屏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降压硅链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20A/35V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交流进线开关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C65N-63 C32A/3P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模块输出开关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C65N-DC C20A/2P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电池放电开关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C65N-DC C16A/2P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合母输出开关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C65N-DC C20A/2P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控母输出开关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C65N-DC C16A/2P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r>
    </w:tbl>
    <w:p>
      <w:pPr>
        <w:jc w:val="left"/>
        <w:rPr>
          <w:rFonts w:ascii="黑体" w:hAnsi="黑体" w:eastAsia="黑体"/>
          <w:sz w:val="32"/>
          <w:szCs w:val="32"/>
        </w:rPr>
      </w:pPr>
      <w:r>
        <w:rPr>
          <w:rFonts w:hint="eastAsia" w:ascii="黑体" w:hAnsi="黑体" w:eastAsia="黑体"/>
          <w:sz w:val="32"/>
          <w:szCs w:val="32"/>
        </w:rPr>
        <w:t>三、技术参数</w:t>
      </w:r>
    </w:p>
    <w:p>
      <w:pPr>
        <w:numPr>
          <w:ilvl w:val="1"/>
          <w:numId w:val="0"/>
        </w:numPr>
        <w:rPr>
          <w:rFonts w:ascii="Arial Narrow" w:hAnsi="Arial Narrow"/>
          <w:bCs/>
          <w:sz w:val="28"/>
          <w:szCs w:val="28"/>
        </w:rPr>
      </w:pPr>
      <w:r>
        <w:rPr>
          <w:rFonts w:hint="eastAsia" w:ascii="Arial Narrow" w:hAnsi="Arial Narrow"/>
          <w:bCs/>
          <w:sz w:val="28"/>
          <w:szCs w:val="28"/>
        </w:rPr>
        <w:t>1、</w:t>
      </w:r>
      <w:r>
        <w:rPr>
          <w:rFonts w:ascii="Arial Narrow" w:hAnsi="Arial Narrow"/>
          <w:bCs/>
          <w:sz w:val="28"/>
          <w:szCs w:val="28"/>
        </w:rPr>
        <w:t>本技术规范书提出的是最</w:t>
      </w:r>
      <w:r>
        <w:rPr>
          <w:rFonts w:hint="eastAsia" w:ascii="Arial Narrow" w:hAnsi="Arial Narrow"/>
          <w:bCs/>
          <w:sz w:val="28"/>
          <w:szCs w:val="28"/>
        </w:rPr>
        <w:t>基本</w:t>
      </w:r>
      <w:r>
        <w:rPr>
          <w:rFonts w:ascii="Arial Narrow" w:hAnsi="Arial Narrow"/>
          <w:bCs/>
          <w:sz w:val="28"/>
          <w:szCs w:val="28"/>
        </w:rPr>
        <w:t>的技术要求，并未对一切技术细节作出规定，也未充分引述有关标准和规范的条文，投标方</w:t>
      </w:r>
      <w:r>
        <w:rPr>
          <w:rFonts w:hint="eastAsia" w:ascii="Arial Narrow" w:hAnsi="Arial Narrow"/>
          <w:bCs/>
          <w:sz w:val="28"/>
          <w:szCs w:val="28"/>
        </w:rPr>
        <w:t>须</w:t>
      </w:r>
      <w:r>
        <w:rPr>
          <w:rFonts w:ascii="Arial Narrow" w:hAnsi="Arial Narrow"/>
          <w:bCs/>
          <w:sz w:val="28"/>
          <w:szCs w:val="28"/>
        </w:rPr>
        <w:t>提供符合工业标准和本协议的优质产品</w:t>
      </w:r>
      <w:r>
        <w:rPr>
          <w:rFonts w:hint="eastAsia" w:ascii="Arial Narrow" w:hAnsi="Arial Narrow"/>
          <w:bCs/>
          <w:sz w:val="28"/>
          <w:szCs w:val="28"/>
        </w:rPr>
        <w:t>。</w:t>
      </w:r>
    </w:p>
    <w:p>
      <w:pPr>
        <w:numPr>
          <w:ilvl w:val="1"/>
          <w:numId w:val="0"/>
        </w:numPr>
        <w:rPr>
          <w:rFonts w:ascii="Arial Narrow" w:hAnsi="Arial Narrow"/>
          <w:bCs/>
          <w:sz w:val="28"/>
          <w:szCs w:val="28"/>
        </w:rPr>
      </w:pPr>
      <w:r>
        <w:rPr>
          <w:rFonts w:hint="eastAsia" w:ascii="Arial Narrow" w:hAnsi="Arial Narrow"/>
          <w:bCs/>
          <w:sz w:val="28"/>
          <w:szCs w:val="28"/>
        </w:rPr>
        <w:t>2、投标方须具备电力成套设备或高低压成套设备的经营权。直流电源系统必须提供开普实验室检验的型式试验报告。</w:t>
      </w:r>
    </w:p>
    <w:p>
      <w:pPr>
        <w:numPr>
          <w:ilvl w:val="1"/>
          <w:numId w:val="0"/>
        </w:numPr>
        <w:rPr>
          <w:rFonts w:ascii="Arial Narrow" w:hAnsi="Arial Narrow"/>
          <w:bCs/>
          <w:sz w:val="28"/>
          <w:szCs w:val="28"/>
        </w:rPr>
      </w:pPr>
      <w:r>
        <w:rPr>
          <w:rFonts w:hint="eastAsia" w:ascii="Arial Narrow" w:hAnsi="Arial Narrow"/>
          <w:bCs/>
          <w:sz w:val="28"/>
          <w:szCs w:val="28"/>
        </w:rPr>
        <w:t>3、直流电源系统应能够为高压配电房直流设备提供安全、可靠的工作电源。直流电源系统主要由直流电源模块、7寸彩色触摸屏监控模块、蓄电池组及各类监控管理模块组成。直流电源系统采用分层分布架构，各功能测控模块采用一体化设计、一体化配置，各功能测控模块运行工况和信息数据应采用DL/T 860标准建模并接入信息一体化平台。实行智能一体化电源各子单元分散测控和集中管理，实现对智能一体化电源系统运行状态信息的实时监测。</w:t>
      </w:r>
    </w:p>
    <w:p>
      <w:pPr>
        <w:numPr>
          <w:ilvl w:val="1"/>
          <w:numId w:val="0"/>
        </w:numPr>
        <w:rPr>
          <w:rFonts w:ascii="Arial Narrow" w:hAnsi="Arial Narrow"/>
          <w:bCs/>
          <w:sz w:val="28"/>
          <w:szCs w:val="28"/>
        </w:rPr>
      </w:pPr>
      <w:r>
        <w:rPr>
          <w:rFonts w:hint="eastAsia" w:ascii="Arial Narrow" w:hAnsi="Arial Narrow"/>
          <w:bCs/>
          <w:sz w:val="28"/>
          <w:szCs w:val="28"/>
        </w:rPr>
        <w:t>4、直流电源系统设置一组蓄电池，采用单母线接线方式，电压为DC220V，设置1套充电模块，充电模块采用N+1热备用。</w:t>
      </w:r>
    </w:p>
    <w:p>
      <w:pPr>
        <w:numPr>
          <w:ilvl w:val="1"/>
          <w:numId w:val="0"/>
        </w:numPr>
        <w:rPr>
          <w:rFonts w:ascii="Arial Narrow" w:hAnsi="Arial Narrow"/>
          <w:bCs/>
          <w:color w:val="000000"/>
          <w:sz w:val="28"/>
          <w:szCs w:val="28"/>
        </w:rPr>
      </w:pPr>
      <w:r>
        <w:rPr>
          <w:rFonts w:hint="eastAsia" w:ascii="Arial Narrow" w:hAnsi="Arial Narrow"/>
          <w:bCs/>
          <w:sz w:val="28"/>
          <w:szCs w:val="28"/>
        </w:rPr>
        <w:t>5、</w:t>
      </w:r>
      <w:r>
        <w:rPr>
          <w:rFonts w:hint="eastAsia" w:ascii="Arial Narrow" w:hAnsi="Arial Narrow"/>
          <w:bCs/>
          <w:color w:val="000000"/>
          <w:sz w:val="28"/>
          <w:szCs w:val="28"/>
        </w:rPr>
        <w:t>采用智能高频开关电源模块并联组成，模块采用带电插拔式。充电模块应具有稳压、稳流及限流性能和定流、恒压性能及相对应的信号报警功能。高频开关模块具有过流、过压、瞬时短路保护等功能。</w:t>
      </w:r>
    </w:p>
    <w:p>
      <w:pPr>
        <w:numPr>
          <w:ilvl w:val="1"/>
          <w:numId w:val="0"/>
        </w:numPr>
        <w:rPr>
          <w:rFonts w:ascii="Arial Narrow" w:hAnsi="Arial Narrow"/>
          <w:bCs/>
          <w:sz w:val="28"/>
          <w:szCs w:val="28"/>
        </w:rPr>
      </w:pPr>
      <w:r>
        <w:rPr>
          <w:rFonts w:hint="eastAsia" w:ascii="Arial Narrow" w:hAnsi="Arial Narrow"/>
          <w:bCs/>
          <w:sz w:val="28"/>
          <w:szCs w:val="28"/>
        </w:rPr>
        <w:t>7、充电模块单元具有</w:t>
      </w:r>
      <w:r>
        <w:rPr>
          <w:rFonts w:ascii="Arial Narrow" w:hAnsi="Arial Narrow"/>
          <w:bCs/>
          <w:sz w:val="28"/>
          <w:szCs w:val="28"/>
        </w:rPr>
        <w:t>CPU</w:t>
      </w:r>
      <w:r>
        <w:rPr>
          <w:rFonts w:hint="eastAsia" w:ascii="Arial Narrow" w:hAnsi="Arial Narrow"/>
          <w:bCs/>
          <w:sz w:val="28"/>
          <w:szCs w:val="28"/>
        </w:rPr>
        <w:t>智能化功能，具有自诊断功能。每只电源模块应具有独立的微机控制输出单元，当集中监控器退出运行时，可以从每只充电模块上手动调节输出电流。</w:t>
      </w:r>
    </w:p>
    <w:p>
      <w:pPr>
        <w:numPr>
          <w:ilvl w:val="1"/>
          <w:numId w:val="0"/>
        </w:numPr>
        <w:rPr>
          <w:rFonts w:ascii="Arial Narrow" w:hAnsi="Arial Narrow"/>
          <w:bCs/>
          <w:sz w:val="28"/>
          <w:szCs w:val="28"/>
        </w:rPr>
      </w:pPr>
      <w:r>
        <w:rPr>
          <w:rFonts w:hint="eastAsia" w:ascii="Arial Narrow" w:hAnsi="Arial Narrow"/>
          <w:bCs/>
          <w:sz w:val="28"/>
          <w:szCs w:val="28"/>
        </w:rPr>
        <w:t>8、</w:t>
      </w:r>
      <w:r>
        <w:rPr>
          <w:rFonts w:hint="eastAsia" w:ascii="Arial Narrow" w:hAnsi="Arial Narrow"/>
          <w:bCs/>
          <w:color w:val="000000"/>
          <w:sz w:val="28"/>
          <w:szCs w:val="28"/>
        </w:rPr>
        <w:t>均流不平衡度：在多个模块并联工作状态下运行时，各模块承受的电流应能做到自动均分负载，实现均流；在2台及以上模块并联运行时，其输出电流为50%以上额定值时均流不平衡度不大于±3</w:t>
      </w:r>
      <w:r>
        <w:rPr>
          <w:rFonts w:ascii="Arial Narrow" w:hAnsi="Arial Narrow"/>
          <w:bCs/>
          <w:color w:val="000000"/>
          <w:sz w:val="28"/>
          <w:szCs w:val="28"/>
        </w:rPr>
        <w:t>%</w:t>
      </w:r>
      <w:r>
        <w:rPr>
          <w:rFonts w:hint="eastAsia" w:ascii="Arial Narrow" w:hAnsi="Arial Narrow"/>
          <w:bCs/>
          <w:color w:val="000000"/>
          <w:sz w:val="28"/>
          <w:szCs w:val="28"/>
        </w:rPr>
        <w:t>额定电流值；模块输出电流为额定电流10%~50%时，均流不平衡度不大于±3</w:t>
      </w:r>
      <w:r>
        <w:rPr>
          <w:rFonts w:ascii="Arial Narrow" w:hAnsi="Arial Narrow"/>
          <w:bCs/>
          <w:color w:val="000000"/>
          <w:sz w:val="28"/>
          <w:szCs w:val="28"/>
        </w:rPr>
        <w:t>%</w:t>
      </w:r>
      <w:r>
        <w:rPr>
          <w:rFonts w:hint="eastAsia" w:ascii="Arial Narrow" w:hAnsi="Arial Narrow"/>
          <w:bCs/>
          <w:color w:val="000000"/>
          <w:sz w:val="28"/>
          <w:szCs w:val="28"/>
        </w:rPr>
        <w:t>。全自冷方式无噪音。</w:t>
      </w:r>
    </w:p>
    <w:p>
      <w:pPr>
        <w:rPr>
          <w:rFonts w:ascii="Arial Narrow" w:hAnsi="Arial Narrow"/>
          <w:bCs/>
          <w:sz w:val="28"/>
          <w:szCs w:val="28"/>
        </w:rPr>
      </w:pPr>
      <w:r>
        <w:rPr>
          <w:rFonts w:hint="eastAsia" w:ascii="Arial Narrow" w:hAnsi="Arial Narrow"/>
          <w:bCs/>
          <w:sz w:val="28"/>
          <w:szCs w:val="28"/>
        </w:rPr>
        <w:t>9、蓄电池采用合资免维护胶体电池，</w:t>
      </w:r>
      <w:r>
        <w:rPr>
          <w:rFonts w:ascii="Arial Narrow" w:hAnsi="Arial Narrow"/>
          <w:bCs/>
          <w:sz w:val="28"/>
          <w:szCs w:val="28"/>
        </w:rPr>
        <w:t>单体电池额定电压</w:t>
      </w:r>
      <w:r>
        <w:rPr>
          <w:rFonts w:hint="eastAsia" w:ascii="Arial Narrow" w:hAnsi="Arial Narrow"/>
          <w:bCs/>
          <w:sz w:val="28"/>
          <w:szCs w:val="28"/>
        </w:rPr>
        <w:t>12</w:t>
      </w:r>
      <w:r>
        <w:rPr>
          <w:rFonts w:ascii="Arial Narrow" w:hAnsi="Arial Narrow"/>
          <w:bCs/>
          <w:sz w:val="28"/>
          <w:szCs w:val="28"/>
        </w:rPr>
        <w:t>V</w:t>
      </w:r>
    </w:p>
    <w:p>
      <w:pPr>
        <w:numPr>
          <w:ilvl w:val="1"/>
          <w:numId w:val="0"/>
        </w:numPr>
        <w:rPr>
          <w:rFonts w:ascii="Arial Narrow" w:hAnsi="Arial Narrow" w:eastAsia="宋体"/>
          <w:bCs/>
          <w:sz w:val="28"/>
          <w:szCs w:val="28"/>
        </w:rPr>
      </w:pPr>
      <w:r>
        <w:rPr>
          <w:rFonts w:hint="eastAsia" w:ascii="Arial Narrow" w:hAnsi="Arial Narrow"/>
          <w:bCs/>
          <w:sz w:val="28"/>
          <w:szCs w:val="28"/>
        </w:rPr>
        <w:t>10、蓄电池组应配置智能蓄电池活化装置，可监测单体电池的电压，容量和内阻。</w:t>
      </w:r>
    </w:p>
    <w:p>
      <w:pPr>
        <w:tabs>
          <w:tab w:val="left" w:pos="2400"/>
        </w:tabs>
        <w:ind w:firstLine="281" w:firstLineChars="100"/>
        <w:rPr>
          <w:rFonts w:ascii="Arial" w:hAnsi="Arial" w:cs="Arial"/>
          <w:sz w:val="28"/>
          <w:szCs w:val="28"/>
        </w:rPr>
      </w:pPr>
      <w:r>
        <w:rPr>
          <w:rFonts w:ascii="Arial" w:hAnsi="Arial" w:cs="Arial"/>
          <w:b/>
          <w:bCs/>
          <w:sz w:val="28"/>
          <w:szCs w:val="28"/>
        </w:rPr>
        <w:t>质量保证</w:t>
      </w:r>
    </w:p>
    <w:p>
      <w:pPr>
        <w:ind w:firstLine="840" w:firstLineChars="300"/>
        <w:rPr>
          <w:rFonts w:ascii="Arial" w:hAnsi="Arial" w:cs="Arial"/>
          <w:sz w:val="28"/>
          <w:szCs w:val="28"/>
        </w:rPr>
      </w:pPr>
      <w:r>
        <w:rPr>
          <w:rFonts w:hint="eastAsia" w:ascii="Arial" w:hAnsi="Arial" w:cs="Arial"/>
          <w:sz w:val="28"/>
          <w:szCs w:val="28"/>
        </w:rPr>
        <w:t>乙方向甲方提供的产品实行三包，三包期为乙方产品从合同货物验收合格之日起算12个月或出厂后起算18个月。乙方必须保证所提供的产品质量合格，成熟和安全可靠；必要时取得相关部门的合格认证。在三包期内因产品自身质量问题造成损失均由乙方负责。乙方承诺，在接到甲方反馈的质量问题后24小时内给予书面回复并给出解决方案。</w:t>
      </w:r>
    </w:p>
    <w:p>
      <w:pPr>
        <w:jc w:val="left"/>
        <w:rPr>
          <w:rFonts w:ascii="仿宋" w:hAnsi="仿宋" w:eastAsia="仿宋"/>
          <w:sz w:val="32"/>
          <w:szCs w:val="32"/>
        </w:rPr>
      </w:pPr>
      <w:r>
        <w:rPr>
          <w:rFonts w:hint="eastAsia" w:ascii="黑体" w:hAnsi="黑体" w:eastAsia="黑体"/>
          <w:sz w:val="32"/>
          <w:szCs w:val="32"/>
        </w:rPr>
        <w:t>四、投标要求</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1、报价人应具备独立的法人资格，并提供工商营业执照副本复印件（加盖报价人公章）。营业执照具备电力成套设备或高低压成套设备经营权。报价应提供加载有统一社会信用代码营业执照的，视为已提供税务登记证和组织机构代码证。</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2、报价人应提供参加采购活动前三年内在经营活动中没有重大违法记录（含无行贿犯罪记录）的书面声明。（“重大违法记录”指供应商因违法经营受到刑事处 罚或责令停产停业、吊销许可证或执照、较大数额罚 款等行政处罚。）</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3、报价人必须具备质量管理体系认证，环境管理体系认证，职业健康安全管理体系认证证书。</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4、报价人应提供本地化服务保障。外地企业8小时内必须响应服务。</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5、报价人全权代表若不是企业法定代表人，应提供法人授权书原件，并提供被授权代表身份证复印件。</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6</w:t>
      </w:r>
      <w:r>
        <w:rPr>
          <w:rFonts w:ascii="仿宋" w:hAnsi="仿宋" w:eastAsia="仿宋"/>
          <w:color w:val="000000" w:themeColor="text1"/>
          <w:sz w:val="32"/>
          <w:szCs w:val="32"/>
        </w:rPr>
        <w:t>、</w:t>
      </w:r>
      <w:r>
        <w:rPr>
          <w:rFonts w:hint="eastAsia" w:ascii="仿宋" w:hAnsi="仿宋" w:eastAsia="仿宋"/>
          <w:color w:val="000000" w:themeColor="text1"/>
          <w:sz w:val="32"/>
          <w:szCs w:val="32"/>
        </w:rPr>
        <w:t>经营保证承诺书。</w:t>
      </w:r>
    </w:p>
    <w:p>
      <w:pPr>
        <w:jc w:val="left"/>
        <w:rPr>
          <w:rFonts w:ascii="仿宋" w:hAnsi="仿宋" w:eastAsia="仿宋"/>
          <w:color w:val="000000" w:themeColor="text1"/>
          <w:sz w:val="32"/>
          <w:szCs w:val="32"/>
        </w:rPr>
      </w:pPr>
      <w:r>
        <w:rPr>
          <w:rFonts w:hint="eastAsia" w:ascii="仿宋" w:hAnsi="仿宋" w:eastAsia="仿宋"/>
          <w:color w:val="000000" w:themeColor="text1"/>
          <w:sz w:val="32"/>
          <w:szCs w:val="32"/>
        </w:rPr>
        <w:t>7、本项目不接受联合体。</w:t>
      </w:r>
    </w:p>
    <w:p>
      <w:pPr>
        <w:jc w:val="left"/>
        <w:rPr>
          <w:rFonts w:ascii="黑体" w:hAnsi="黑体" w:eastAsia="黑体"/>
          <w:sz w:val="32"/>
          <w:szCs w:val="32"/>
        </w:rPr>
      </w:pPr>
      <w:r>
        <w:rPr>
          <w:rFonts w:hint="eastAsia" w:ascii="黑体" w:hAnsi="黑体" w:eastAsia="黑体"/>
          <w:sz w:val="32"/>
          <w:szCs w:val="32"/>
        </w:rPr>
        <w:t>四、报价要求</w:t>
      </w:r>
    </w:p>
    <w:p>
      <w:pPr>
        <w:jc w:val="left"/>
        <w:rPr>
          <w:rFonts w:ascii="仿宋" w:hAnsi="仿宋" w:eastAsia="仿宋"/>
          <w:sz w:val="32"/>
          <w:szCs w:val="32"/>
        </w:rPr>
      </w:pPr>
      <w:r>
        <w:rPr>
          <w:rFonts w:hint="eastAsia" w:ascii="仿宋" w:hAnsi="仿宋" w:eastAsia="仿宋"/>
          <w:sz w:val="32"/>
          <w:szCs w:val="32"/>
        </w:rPr>
        <w:t>1、本项目为总价包干。投标总价包括但不限于：成交供应商出具的可研报告取得采购人、主管部门验收、审核批复（除非主管部门终止收购活动）所需的服务内容进行综合报价，完成本项目可行性研究报告的所有可能发生的费用：组织会务、报告的评审、专家费、会议费、人工费、保险费、服务费、仪器仪具使用费、办公费、住宿费、交通费、税金、保险、利润、招标代理服务费）；如有遗漏，报价人应予补充,否则，一旦成交将认为报价人认同遗漏部分并免费提供。报价人所提供服务的报价包括已付的全部销售税和其他税。</w:t>
      </w:r>
    </w:p>
    <w:p>
      <w:pPr>
        <w:jc w:val="left"/>
        <w:rPr>
          <w:rFonts w:ascii="仿宋" w:hAnsi="仿宋" w:eastAsia="仿宋"/>
          <w:sz w:val="32"/>
          <w:szCs w:val="32"/>
        </w:rPr>
      </w:pPr>
      <w:r>
        <w:rPr>
          <w:rFonts w:hint="eastAsia" w:ascii="仿宋" w:hAnsi="仿宋" w:eastAsia="仿宋"/>
          <w:sz w:val="32"/>
          <w:szCs w:val="32"/>
        </w:rPr>
        <w:t>2、报价文件中标明的价格在合同执行过程中是固定不变的，不得以任何理由予以变更。以可变动价格提交的报价将被认为是非实质响应而被拒绝。</w:t>
      </w:r>
    </w:p>
    <w:p>
      <w:pPr>
        <w:jc w:val="left"/>
        <w:rPr>
          <w:rFonts w:ascii="仿宋" w:hAnsi="仿宋" w:eastAsia="仿宋"/>
          <w:sz w:val="32"/>
          <w:szCs w:val="32"/>
        </w:rPr>
      </w:pPr>
      <w:r>
        <w:rPr>
          <w:rFonts w:hint="eastAsia" w:ascii="仿宋" w:hAnsi="仿宋" w:eastAsia="仿宋"/>
          <w:sz w:val="32"/>
          <w:szCs w:val="32"/>
        </w:rPr>
        <w:t>3、报价人只能有一个报价，采购单位不接受有选择的报价。</w:t>
      </w:r>
    </w:p>
    <w:p>
      <w:pPr>
        <w:jc w:val="left"/>
        <w:rPr>
          <w:rFonts w:ascii="仿宋" w:hAnsi="仿宋" w:eastAsia="仿宋"/>
          <w:sz w:val="32"/>
          <w:szCs w:val="32"/>
        </w:rPr>
      </w:pPr>
    </w:p>
    <w:p>
      <w:pPr>
        <w:jc w:val="left"/>
        <w:rPr>
          <w:rFonts w:ascii="仿宋" w:hAnsi="仿宋" w:eastAsia="仿宋"/>
          <w:sz w:val="32"/>
          <w:szCs w:val="32"/>
        </w:rPr>
      </w:pPr>
    </w:p>
    <w:p>
      <w:pPr>
        <w:rPr>
          <w:rFonts w:ascii="Arial" w:hAnsi="Arial" w:cs="Arial"/>
          <w:sz w:val="28"/>
          <w:szCs w:val="28"/>
        </w:rPr>
      </w:pPr>
    </w:p>
    <w:p>
      <w:pPr>
        <w:jc w:val="left"/>
        <w:rPr>
          <w:rFonts w:ascii="黑体" w:hAnsi="黑体" w:eastAsia="黑体"/>
          <w:sz w:val="28"/>
          <w:szCs w:val="28"/>
        </w:rPr>
      </w:pPr>
      <w:r>
        <w:rPr>
          <w:rFonts w:hint="eastAsia" w:ascii="黑体" w:hAnsi="黑体" w:eastAsia="黑体"/>
          <w:sz w:val="28"/>
          <w:szCs w:val="28"/>
        </w:rPr>
        <w:t xml:space="preserve">                                  2023.5.23</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214668-01D3-48BD-B4B4-7CA1D4A340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embedRegular r:id="rId2" w:fontKey="{A37D36FA-8533-426D-A01B-F8137E53E8EA}"/>
  </w:font>
  <w:font w:name="方正小标宋简体">
    <w:altName w:val="方正舒体"/>
    <w:panose1 w:val="00000000000000000000"/>
    <w:charset w:val="86"/>
    <w:family w:val="script"/>
    <w:pitch w:val="default"/>
    <w:sig w:usb0="00000000" w:usb1="00000000" w:usb2="00000000" w:usb3="00000000" w:csb0="00040000" w:csb1="00000000"/>
    <w:embedRegular r:id="rId3" w:fontKey="{EDF82F48-47E2-4A65-97FA-EAF4869FB0A5}"/>
  </w:font>
  <w:font w:name="仿宋">
    <w:panose1 w:val="02010609060101010101"/>
    <w:charset w:val="86"/>
    <w:family w:val="modern"/>
    <w:pitch w:val="default"/>
    <w:sig w:usb0="800002BF" w:usb1="38CF7CFA" w:usb2="00000016" w:usb3="00000000" w:csb0="00040001" w:csb1="00000000"/>
    <w:embedRegular r:id="rId4" w:fontKey="{9C0FFA1F-51EC-49B7-A986-AE602C697101}"/>
  </w:font>
  <w:font w:name="华文仿宋">
    <w:panose1 w:val="02010600040101010101"/>
    <w:charset w:val="86"/>
    <w:family w:val="auto"/>
    <w:pitch w:val="default"/>
    <w:sig w:usb0="00000287" w:usb1="080F0000" w:usb2="00000000" w:usb3="00000000" w:csb0="0004009F" w:csb1="DFD70000"/>
    <w:embedRegular r:id="rId5" w:fontKey="{00F7ACCF-EDBE-4FA1-BA2B-5EAAE211059A}"/>
  </w:font>
  <w:font w:name="Arial Narrow">
    <w:panose1 w:val="020B0606020202030204"/>
    <w:charset w:val="00"/>
    <w:family w:val="swiss"/>
    <w:pitch w:val="default"/>
    <w:sig w:usb0="00000287" w:usb1="00000800" w:usb2="00000000" w:usb3="00000000" w:csb0="2000009F" w:csb1="DFD70000"/>
    <w:embedRegular r:id="rId6" w:fontKey="{0628E85A-74D1-4CDD-A397-16D3CA3A3803}"/>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JiZjRiZjhlNjY5ZWRjZGYyNjQ3OTgwYTQwYjUyNWIifQ=="/>
  </w:docVars>
  <w:rsids>
    <w:rsidRoot w:val="00171796"/>
    <w:rsid w:val="000544D4"/>
    <w:rsid w:val="000D7926"/>
    <w:rsid w:val="000E014A"/>
    <w:rsid w:val="00100EB3"/>
    <w:rsid w:val="00125CC3"/>
    <w:rsid w:val="00154923"/>
    <w:rsid w:val="00161E14"/>
    <w:rsid w:val="00171796"/>
    <w:rsid w:val="001D7365"/>
    <w:rsid w:val="001F1709"/>
    <w:rsid w:val="002068BC"/>
    <w:rsid w:val="002243E5"/>
    <w:rsid w:val="00322830"/>
    <w:rsid w:val="00330A7E"/>
    <w:rsid w:val="0035312F"/>
    <w:rsid w:val="00355E08"/>
    <w:rsid w:val="00365CC0"/>
    <w:rsid w:val="00393A4E"/>
    <w:rsid w:val="003B34C6"/>
    <w:rsid w:val="00426206"/>
    <w:rsid w:val="00434D99"/>
    <w:rsid w:val="0043641A"/>
    <w:rsid w:val="004513D5"/>
    <w:rsid w:val="004B3B8D"/>
    <w:rsid w:val="00623436"/>
    <w:rsid w:val="006A1D3B"/>
    <w:rsid w:val="006A5500"/>
    <w:rsid w:val="006B3146"/>
    <w:rsid w:val="006D5504"/>
    <w:rsid w:val="0073442E"/>
    <w:rsid w:val="00766B68"/>
    <w:rsid w:val="00773F53"/>
    <w:rsid w:val="007A6AC2"/>
    <w:rsid w:val="007B3990"/>
    <w:rsid w:val="008B0AB5"/>
    <w:rsid w:val="008D3D62"/>
    <w:rsid w:val="008E0C42"/>
    <w:rsid w:val="00904407"/>
    <w:rsid w:val="00932CC5"/>
    <w:rsid w:val="009D40AD"/>
    <w:rsid w:val="009D41A1"/>
    <w:rsid w:val="009D59E4"/>
    <w:rsid w:val="009E6132"/>
    <w:rsid w:val="00AC3274"/>
    <w:rsid w:val="00B27DF1"/>
    <w:rsid w:val="00B56F9E"/>
    <w:rsid w:val="00B820D4"/>
    <w:rsid w:val="00BB67AB"/>
    <w:rsid w:val="00C5177A"/>
    <w:rsid w:val="00C72F52"/>
    <w:rsid w:val="00C74290"/>
    <w:rsid w:val="00C8018C"/>
    <w:rsid w:val="00D62E9A"/>
    <w:rsid w:val="00D77ED5"/>
    <w:rsid w:val="00DB6483"/>
    <w:rsid w:val="00E15099"/>
    <w:rsid w:val="00E84ADD"/>
    <w:rsid w:val="00F06C3D"/>
    <w:rsid w:val="00F123FC"/>
    <w:rsid w:val="00F24F0D"/>
    <w:rsid w:val="00F772B7"/>
    <w:rsid w:val="00F90BD7"/>
    <w:rsid w:val="00F95D9D"/>
    <w:rsid w:val="00FC32F9"/>
    <w:rsid w:val="00FC5457"/>
    <w:rsid w:val="0840245D"/>
    <w:rsid w:val="09A651F4"/>
    <w:rsid w:val="0A6C3DC0"/>
    <w:rsid w:val="0AC774AA"/>
    <w:rsid w:val="0B9C061A"/>
    <w:rsid w:val="0D4E1EA3"/>
    <w:rsid w:val="0DD320C6"/>
    <w:rsid w:val="0E6A2D0C"/>
    <w:rsid w:val="0EAF6971"/>
    <w:rsid w:val="105664B9"/>
    <w:rsid w:val="11107475"/>
    <w:rsid w:val="11763776"/>
    <w:rsid w:val="1181566E"/>
    <w:rsid w:val="11E26674"/>
    <w:rsid w:val="12BE6C31"/>
    <w:rsid w:val="12DE7825"/>
    <w:rsid w:val="173914CE"/>
    <w:rsid w:val="175B58E8"/>
    <w:rsid w:val="1A304356"/>
    <w:rsid w:val="1B2A2967"/>
    <w:rsid w:val="1CE123EB"/>
    <w:rsid w:val="1F5A2E2A"/>
    <w:rsid w:val="1FE30BF5"/>
    <w:rsid w:val="21311468"/>
    <w:rsid w:val="249335A3"/>
    <w:rsid w:val="25EF3DCB"/>
    <w:rsid w:val="2B8F5708"/>
    <w:rsid w:val="2F8D6403"/>
    <w:rsid w:val="30FB5378"/>
    <w:rsid w:val="32D700C1"/>
    <w:rsid w:val="33044755"/>
    <w:rsid w:val="355E6D8A"/>
    <w:rsid w:val="36BA6C72"/>
    <w:rsid w:val="398D1607"/>
    <w:rsid w:val="3C7A386B"/>
    <w:rsid w:val="3DAF36B3"/>
    <w:rsid w:val="3FB11C9A"/>
    <w:rsid w:val="46B207D1"/>
    <w:rsid w:val="46B355C3"/>
    <w:rsid w:val="477D325B"/>
    <w:rsid w:val="4FAB2261"/>
    <w:rsid w:val="4FDE2637"/>
    <w:rsid w:val="52586B0D"/>
    <w:rsid w:val="530E7E2D"/>
    <w:rsid w:val="538A3641"/>
    <w:rsid w:val="56A1405A"/>
    <w:rsid w:val="5ABC17C7"/>
    <w:rsid w:val="5BB70489"/>
    <w:rsid w:val="5CE943C9"/>
    <w:rsid w:val="651D5831"/>
    <w:rsid w:val="6538001C"/>
    <w:rsid w:val="65FA01A3"/>
    <w:rsid w:val="6A80074E"/>
    <w:rsid w:val="6A934D58"/>
    <w:rsid w:val="6B427AC6"/>
    <w:rsid w:val="6B513AE0"/>
    <w:rsid w:val="71F15DA2"/>
    <w:rsid w:val="73503487"/>
    <w:rsid w:val="74206E5A"/>
    <w:rsid w:val="76B63892"/>
    <w:rsid w:val="7DBE58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纯文本 Char"/>
    <w:basedOn w:val="7"/>
    <w:link w:val="2"/>
    <w:qFormat/>
    <w:uiPriority w:val="0"/>
    <w:rPr>
      <w:rFonts w:ascii="宋体" w:hAnsi="Courier New" w:eastAsia="宋体" w:cs="Times New Roman"/>
      <w:kern w:val="2"/>
      <w:sz w:val="21"/>
      <w:szCs w:val="21"/>
    </w:rPr>
  </w:style>
  <w:style w:type="paragraph" w:customStyle="1" w:styleId="12">
    <w:name w:val="二级标题"/>
    <w:basedOn w:val="1"/>
    <w:qFormat/>
    <w:uiPriority w:val="0"/>
    <w:pPr>
      <w:widowControl/>
      <w:snapToGrid w:val="0"/>
      <w:spacing w:beforeLines="50"/>
      <w:jc w:val="left"/>
    </w:pPr>
    <w:rPr>
      <w:b/>
      <w:sz w:val="28"/>
      <w:szCs w:val="24"/>
    </w:rPr>
  </w:style>
  <w:style w:type="paragraph" w:customStyle="1" w:styleId="13">
    <w:name w:val="b"/>
    <w:basedOn w:val="1"/>
    <w:qFormat/>
    <w:uiPriority w:val="0"/>
    <w:pPr>
      <w:widowControl/>
      <w:spacing w:before="160" w:after="60" w:line="300" w:lineRule="atLeast"/>
      <w:jc w:val="center"/>
    </w:pPr>
    <w:rPr>
      <w:rFonts w:ascii="Arial" w:hAnsi="Arial" w:cs="Arial"/>
      <w:kern w:val="0"/>
      <w:sz w:val="20"/>
    </w:rPr>
  </w:style>
  <w:style w:type="character" w:customStyle="1" w:styleId="14">
    <w:name w:val="b__char1"/>
    <w:qFormat/>
    <w:uiPriority w:val="0"/>
    <w:rPr>
      <w:rFonts w:hint="default" w:ascii="Arial" w:hAnsi="Arial" w:cs="Arial"/>
      <w:sz w:val="20"/>
      <w:szCs w:val="20"/>
    </w:rPr>
  </w:style>
  <w:style w:type="paragraph" w:customStyle="1" w:styleId="15">
    <w:name w:val="bbb1"/>
    <w:basedOn w:val="1"/>
    <w:qFormat/>
    <w:uiPriority w:val="0"/>
    <w:pPr>
      <w:widowControl/>
      <w:spacing w:before="60" w:after="60"/>
      <w:jc w:val="center"/>
    </w:pPr>
    <w:rPr>
      <w:kern w:val="0"/>
      <w:sz w:val="18"/>
      <w:szCs w:val="18"/>
    </w:rPr>
  </w:style>
  <w:style w:type="character" w:customStyle="1" w:styleId="16">
    <w:name w:val="bbb__char1"/>
    <w:qFormat/>
    <w:uiPriority w:val="0"/>
    <w:rPr>
      <w:rFonts w:hint="default" w:ascii="Times New Roman" w:hAnsi="Times New Roman" w:cs="Times New Roman"/>
      <w:sz w:val="18"/>
      <w:szCs w:val="18"/>
    </w:rPr>
  </w:style>
  <w:style w:type="paragraph" w:customStyle="1" w:styleId="17">
    <w:name w:val="dash8868_683c_5185_5b57_4f53_5b57_53f71"/>
    <w:basedOn w:val="1"/>
    <w:qFormat/>
    <w:uiPriority w:val="0"/>
    <w:pPr>
      <w:widowControl/>
      <w:spacing w:before="20" w:after="20"/>
      <w:ind w:left="20" w:right="20"/>
      <w:jc w:val="center"/>
    </w:pPr>
    <w:rPr>
      <w:kern w:val="0"/>
      <w:sz w:val="18"/>
      <w:szCs w:val="18"/>
    </w:rPr>
  </w:style>
  <w:style w:type="character" w:customStyle="1" w:styleId="18">
    <w:name w:val="dash8868_683c_5185_5b57_4f53_5b57_53f7__char1"/>
    <w:qFormat/>
    <w:uiPriority w:val="0"/>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2095</Words>
  <Characters>2277</Characters>
  <Lines>17</Lines>
  <Paragraphs>4</Paragraphs>
  <TotalTime>8</TotalTime>
  <ScaleCrop>false</ScaleCrop>
  <LinksUpToDate>false</LinksUpToDate>
  <CharactersWithSpaces>2339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2020-11-24T07:33:00Z</dcterms:created>
  <dc:creator>zyy20180913</dc:creator>
  <cp:lastModifiedBy>小潘</cp:lastModifiedBy>
  <cp:lastPrinted>2022-07-25T00:39:00Z</cp:lastPrinted>
  <dcterms:modified xsi:type="dcterms:W3CDTF">2023-05-23T06:49:01Z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8AEF0B2C60924EEDB98EDD93B784E0C2_13</vt:lpwstr>
  </property>
</Properties>
</file>