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hint="eastAsia" w:ascii="方正小标宋简体" w:eastAsia="方正小标宋简体"/>
          <w:kern w:val="2"/>
          <w:sz w:val="36"/>
          <w:szCs w:val="36"/>
          <w:lang w:val="en-US" w:eastAsia="zh-CN"/>
        </w:rPr>
      </w:pPr>
      <w:r>
        <w:rPr>
          <w:rFonts w:hint="eastAsia" w:ascii="方正小标宋简体" w:eastAsia="方正小标宋简体"/>
          <w:kern w:val="2"/>
          <w:sz w:val="36"/>
          <w:szCs w:val="36"/>
        </w:rPr>
        <w:t>厦门市中医院伦理委员会初始审查</w:t>
      </w:r>
      <w:r>
        <w:rPr>
          <w:rFonts w:hint="eastAsia" w:ascii="方正小标宋简体" w:eastAsia="方正小标宋简体"/>
          <w:kern w:val="2"/>
          <w:sz w:val="36"/>
          <w:szCs w:val="36"/>
          <w:lang w:eastAsia="zh-CN"/>
        </w:rPr>
        <w:t>申请指南</w:t>
      </w:r>
    </w:p>
    <w:p>
      <w:pPr>
        <w:jc w:val="center"/>
        <w:rPr>
          <w:rFonts w:hint="eastAsia"/>
          <w:b/>
          <w:bCs/>
          <w:sz w:val="36"/>
          <w:szCs w:val="36"/>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8"/>
          <w:szCs w:val="28"/>
        </w:rPr>
      </w:pPr>
      <w:r>
        <w:rPr>
          <w:rStyle w:val="8"/>
          <w:rFonts w:hint="eastAsia" w:ascii="仿宋" w:hAnsi="仿宋" w:eastAsia="仿宋" w:cs="仿宋"/>
          <w:sz w:val="28"/>
          <w:szCs w:val="28"/>
          <w:lang w:eastAsia="zh-CN"/>
        </w:rPr>
        <w:t>一、</w:t>
      </w:r>
      <w:r>
        <w:rPr>
          <w:rStyle w:val="8"/>
          <w:rFonts w:hint="eastAsia" w:ascii="仿宋" w:hAnsi="仿宋" w:eastAsia="仿宋" w:cs="仿宋"/>
          <w:sz w:val="28"/>
          <w:szCs w:val="28"/>
        </w:rPr>
        <w:t>适用范围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88" w:firstLineChars="200"/>
        <w:jc w:val="both"/>
        <w:textAlignment w:val="auto"/>
        <w:rPr>
          <w:rStyle w:val="8"/>
          <w:rFonts w:hint="eastAsia" w:ascii="仿宋" w:hAnsi="仿宋" w:eastAsia="仿宋" w:cs="仿宋"/>
          <w:sz w:val="28"/>
          <w:szCs w:val="28"/>
        </w:rPr>
      </w:pPr>
      <w:r>
        <w:rPr>
          <w:rFonts w:hint="eastAsia" w:ascii="仿宋" w:hAnsi="仿宋" w:eastAsia="仿宋" w:cs="仿宋"/>
          <w:i w:val="0"/>
          <w:iCs w:val="0"/>
          <w:caps w:val="0"/>
          <w:spacing w:val="7"/>
          <w:sz w:val="28"/>
          <w:szCs w:val="28"/>
          <w:shd w:val="clear" w:fill="FFFFFF"/>
        </w:rPr>
        <w:t>由专业技术人员任主要研究者的涉及人体的上市前注册临床研究和部分上市后临床评价研究，计划在本院开展，首次向伦理委员会提出审查申请的临床试验。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i w:val="0"/>
          <w:iCs w:val="0"/>
          <w:caps w:val="0"/>
          <w:spacing w:val="7"/>
          <w:sz w:val="28"/>
          <w:szCs w:val="28"/>
        </w:rPr>
      </w:pPr>
      <w:r>
        <w:rPr>
          <w:rStyle w:val="8"/>
          <w:rFonts w:hint="eastAsia" w:ascii="仿宋" w:hAnsi="仿宋" w:eastAsia="仿宋" w:cs="仿宋"/>
          <w:sz w:val="28"/>
          <w:szCs w:val="28"/>
          <w:lang w:eastAsia="zh-CN"/>
        </w:rPr>
        <w:t>二、</w:t>
      </w:r>
      <w:r>
        <w:rPr>
          <w:rStyle w:val="8"/>
          <w:rFonts w:hint="eastAsia" w:ascii="仿宋" w:hAnsi="仿宋" w:eastAsia="仿宋" w:cs="仿宋"/>
          <w:sz w:val="28"/>
          <w:szCs w:val="28"/>
        </w:rPr>
        <w:t>递交文件要求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kern w:val="0"/>
          <w:sz w:val="28"/>
          <w:szCs w:val="28"/>
          <w:lang w:val="en-US" w:eastAsia="zh-CN" w:bidi="ar"/>
        </w:rPr>
        <w:t>1、存档与主审文件：初始审查递交文件</w:t>
      </w:r>
      <w:r>
        <w:rPr>
          <w:rFonts w:hint="eastAsia" w:ascii="仿宋" w:hAnsi="仿宋" w:eastAsia="仿宋" w:cs="仿宋"/>
          <w:b w:val="0"/>
          <w:bCs w:val="0"/>
          <w:color w:val="auto"/>
          <w:kern w:val="0"/>
          <w:sz w:val="28"/>
          <w:szCs w:val="28"/>
          <w:u w:val="none"/>
          <w:lang w:val="en-US" w:eastAsia="zh-CN" w:bidi="ar"/>
        </w:rPr>
        <w:fldChar w:fldCharType="begin"/>
      </w:r>
      <w:r>
        <w:rPr>
          <w:rFonts w:hint="eastAsia" w:ascii="仿宋" w:hAnsi="仿宋" w:eastAsia="仿宋" w:cs="仿宋"/>
          <w:b w:val="0"/>
          <w:bCs w:val="0"/>
          <w:color w:val="auto"/>
          <w:kern w:val="0"/>
          <w:sz w:val="28"/>
          <w:szCs w:val="28"/>
          <w:u w:val="none"/>
          <w:lang w:val="en-US" w:eastAsia="zh-CN" w:bidi="ar"/>
        </w:rPr>
        <w:instrText xml:space="preserve"> HYPERLINK "mailto:各种审查方式[1]递交文件的要求，见附件《送审文件清单》。请通过邮箱（xmzyyIRB@126.com)发送电子版文件，" </w:instrText>
      </w:r>
      <w:r>
        <w:rPr>
          <w:rFonts w:hint="eastAsia" w:ascii="仿宋" w:hAnsi="仿宋" w:eastAsia="仿宋" w:cs="仿宋"/>
          <w:b w:val="0"/>
          <w:bCs w:val="0"/>
          <w:color w:val="auto"/>
          <w:kern w:val="0"/>
          <w:sz w:val="28"/>
          <w:szCs w:val="28"/>
          <w:u w:val="none"/>
          <w:lang w:val="en-US" w:eastAsia="zh-CN" w:bidi="ar"/>
        </w:rPr>
        <w:fldChar w:fldCharType="separate"/>
      </w:r>
      <w:r>
        <w:rPr>
          <w:rStyle w:val="10"/>
          <w:rFonts w:hint="eastAsia" w:ascii="仿宋" w:hAnsi="仿宋" w:eastAsia="仿宋" w:cs="仿宋"/>
          <w:b w:val="0"/>
          <w:bCs w:val="0"/>
          <w:color w:val="auto"/>
          <w:kern w:val="0"/>
          <w:sz w:val="28"/>
          <w:szCs w:val="28"/>
          <w:u w:val="none"/>
          <w:lang w:val="en-US" w:eastAsia="zh-CN" w:bidi="ar"/>
        </w:rPr>
        <w:t>见官网附件《送审文件清单》。请通过邮箱（xmzyyIRB@126.com)发送电子版文件，</w:t>
      </w:r>
      <w:r>
        <w:rPr>
          <w:rFonts w:hint="eastAsia" w:ascii="仿宋" w:hAnsi="仿宋" w:eastAsia="仿宋" w:cs="仿宋"/>
          <w:b w:val="0"/>
          <w:bCs w:val="0"/>
          <w:color w:val="auto"/>
          <w:kern w:val="0"/>
          <w:sz w:val="28"/>
          <w:szCs w:val="28"/>
          <w:u w:val="none"/>
          <w:lang w:val="en-US" w:eastAsia="zh-CN" w:bidi="ar"/>
        </w:rPr>
        <w:fldChar w:fldCharType="end"/>
      </w:r>
      <w:r>
        <w:rPr>
          <w:rFonts w:hint="eastAsia" w:ascii="仿宋" w:hAnsi="仿宋" w:eastAsia="仿宋" w:cs="仿宋"/>
          <w:b w:val="0"/>
          <w:bCs w:val="0"/>
          <w:color w:val="auto"/>
          <w:kern w:val="0"/>
          <w:sz w:val="28"/>
          <w:szCs w:val="28"/>
          <w:u w:val="none"/>
          <w:lang w:val="en-US" w:eastAsia="zh-CN" w:bidi="ar"/>
        </w:rPr>
        <w:t>收到</w:t>
      </w:r>
      <w:r>
        <w:rPr>
          <w:rFonts w:hint="eastAsia" w:ascii="仿宋" w:hAnsi="仿宋" w:eastAsia="仿宋" w:cs="仿宋"/>
          <w:color w:val="auto"/>
          <w:kern w:val="0"/>
          <w:sz w:val="28"/>
          <w:szCs w:val="28"/>
          <w:lang w:val="en-US" w:eastAsia="zh-CN" w:bidi="ar"/>
        </w:rPr>
        <w:t>邮件后伦理办会回复项目编号与受理号，若有问题请电话咨询0592-5574312。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采用</w:t>
      </w:r>
      <w:r>
        <w:rPr>
          <w:rFonts w:hint="eastAsia" w:ascii="仿宋" w:hAnsi="仿宋" w:eastAsia="仿宋" w:cs="仿宋"/>
          <w:kern w:val="0"/>
          <w:sz w:val="28"/>
          <w:szCs w:val="28"/>
          <w:u w:val="single"/>
          <w:lang w:val="en-US" w:eastAsia="zh-CN" w:bidi="ar"/>
        </w:rPr>
        <w:t>会议审查</w:t>
      </w:r>
      <w:r>
        <w:rPr>
          <w:rFonts w:hint="eastAsia" w:ascii="仿宋" w:hAnsi="仿宋" w:eastAsia="仿宋" w:cs="仿宋"/>
          <w:kern w:val="0"/>
          <w:sz w:val="28"/>
          <w:szCs w:val="28"/>
          <w:lang w:val="en-US" w:eastAsia="zh-CN" w:bidi="ar"/>
        </w:rPr>
        <w:t>方式的临床试验，请</w:t>
      </w:r>
      <w:r>
        <w:rPr>
          <w:rStyle w:val="8"/>
          <w:rFonts w:hint="eastAsia" w:ascii="仿宋" w:hAnsi="仿宋" w:eastAsia="仿宋" w:cs="仿宋"/>
          <w:kern w:val="0"/>
          <w:sz w:val="28"/>
          <w:szCs w:val="28"/>
          <w:u w:val="single"/>
          <w:lang w:val="en-US" w:eastAsia="zh-CN" w:bidi="ar"/>
        </w:rPr>
        <w:t>最晚于会议召开前两周（10个工作日）</w:t>
      </w:r>
      <w:r>
        <w:rPr>
          <w:rFonts w:hint="eastAsia" w:ascii="仿宋" w:hAnsi="仿宋" w:eastAsia="仿宋" w:cs="仿宋"/>
          <w:kern w:val="0"/>
          <w:sz w:val="28"/>
          <w:szCs w:val="28"/>
          <w:lang w:val="en-US" w:eastAsia="zh-CN" w:bidi="ar"/>
        </w:rPr>
        <w:t>将纸质文件完整版</w:t>
      </w:r>
      <w:r>
        <w:rPr>
          <w:rFonts w:hint="eastAsia" w:ascii="仿宋" w:hAnsi="仿宋" w:eastAsia="仿宋" w:cs="仿宋"/>
          <w:b/>
          <w:bCs/>
          <w:kern w:val="0"/>
          <w:sz w:val="28"/>
          <w:szCs w:val="28"/>
          <w:u w:val="single"/>
          <w:lang w:val="en-US" w:eastAsia="zh-CN" w:bidi="ar"/>
        </w:rPr>
        <w:t>3份（其中一份为盖章原件）</w:t>
      </w:r>
      <w:r>
        <w:rPr>
          <w:rFonts w:hint="eastAsia" w:ascii="仿宋" w:hAnsi="仿宋" w:eastAsia="仿宋" w:cs="仿宋"/>
          <w:kern w:val="0"/>
          <w:sz w:val="28"/>
          <w:szCs w:val="28"/>
          <w:lang w:val="en-US" w:eastAsia="zh-CN" w:bidi="ar"/>
        </w:rPr>
        <w:t>递交至伦理办公室。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color w:val="auto"/>
          <w:kern w:val="0"/>
          <w:sz w:val="28"/>
          <w:szCs w:val="28"/>
          <w:lang w:val="en-US" w:eastAsia="zh-CN" w:bidi="ar"/>
        </w:rPr>
        <w:t>纸质文件完整版是指清单中的所有文件，按文件列表顺序</w:t>
      </w:r>
      <w:r>
        <w:rPr>
          <w:rFonts w:hint="eastAsia" w:ascii="仿宋" w:hAnsi="仿宋" w:eastAsia="仿宋" w:cs="仿宋"/>
          <w:b/>
          <w:bCs/>
          <w:color w:val="auto"/>
          <w:kern w:val="0"/>
          <w:sz w:val="28"/>
          <w:szCs w:val="28"/>
          <w:u w:val="single"/>
          <w:lang w:val="en-US" w:eastAsia="zh-CN" w:bidi="ar"/>
        </w:rPr>
        <w:t>胶装成册</w:t>
      </w:r>
      <w:r>
        <w:rPr>
          <w:rFonts w:hint="eastAsia" w:ascii="仿宋" w:hAnsi="仿宋" w:eastAsia="仿宋" w:cs="仿宋"/>
          <w:color w:val="auto"/>
          <w:kern w:val="0"/>
          <w:sz w:val="28"/>
          <w:szCs w:val="28"/>
          <w:lang w:val="en-US" w:eastAsia="zh-CN" w:bidi="ar"/>
        </w:rPr>
        <w:t>，设计</w:t>
      </w:r>
      <w:r>
        <w:rPr>
          <w:rStyle w:val="8"/>
          <w:rFonts w:hint="eastAsia" w:ascii="仿宋" w:hAnsi="仿宋" w:eastAsia="仿宋" w:cs="仿宋"/>
          <w:kern w:val="0"/>
          <w:sz w:val="28"/>
          <w:szCs w:val="28"/>
          <w:u w:val="single"/>
          <w:lang w:val="en-US" w:eastAsia="zh-CN" w:bidi="ar"/>
        </w:rPr>
        <w:t>目录</w:t>
      </w:r>
      <w:r>
        <w:rPr>
          <w:rFonts w:hint="eastAsia" w:ascii="仿宋" w:hAnsi="仿宋" w:eastAsia="仿宋" w:cs="仿宋"/>
          <w:kern w:val="0"/>
          <w:sz w:val="28"/>
          <w:szCs w:val="28"/>
          <w:lang w:val="en-US" w:eastAsia="zh-CN" w:bidi="ar"/>
        </w:rPr>
        <w:t>和</w:t>
      </w:r>
      <w:r>
        <w:rPr>
          <w:rStyle w:val="8"/>
          <w:rFonts w:hint="eastAsia" w:ascii="仿宋" w:hAnsi="仿宋" w:eastAsia="仿宋" w:cs="仿宋"/>
          <w:kern w:val="0"/>
          <w:sz w:val="28"/>
          <w:szCs w:val="28"/>
          <w:u w:val="single"/>
          <w:lang w:val="en-US" w:eastAsia="zh-CN" w:bidi="ar"/>
        </w:rPr>
        <w:t>分隔页</w:t>
      </w:r>
      <w:r>
        <w:rPr>
          <w:rStyle w:val="8"/>
          <w:rFonts w:hint="eastAsia" w:ascii="仿宋" w:hAnsi="仿宋" w:eastAsia="仿宋" w:cs="仿宋"/>
          <w:b w:val="0"/>
          <w:bCs/>
          <w:kern w:val="0"/>
          <w:sz w:val="28"/>
          <w:szCs w:val="28"/>
          <w:u w:val="none"/>
          <w:lang w:val="en-US" w:eastAsia="zh-CN" w:bidi="ar"/>
        </w:rPr>
        <w:t>（详见下图1）</w:t>
      </w:r>
      <w:r>
        <w:rPr>
          <w:rFonts w:hint="eastAsia" w:ascii="仿宋" w:hAnsi="仿宋" w:eastAsia="仿宋" w:cs="仿宋"/>
          <w:kern w:val="0"/>
          <w:sz w:val="28"/>
          <w:szCs w:val="28"/>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2、会审文件：会审材料只需以下文件（伦理审查申请表、临床试验方案与摘要、知情同意书、招募广告、组长单位批件）按顺序装订20</w:t>
      </w:r>
      <w:bookmarkStart w:id="0" w:name="_GoBack"/>
      <w:bookmarkEnd w:id="0"/>
      <w:r>
        <w:rPr>
          <w:rFonts w:hint="eastAsia" w:ascii="仿宋" w:hAnsi="仿宋" w:eastAsia="仿宋" w:cs="仿宋"/>
          <w:kern w:val="0"/>
          <w:sz w:val="28"/>
          <w:szCs w:val="28"/>
          <w:lang w:val="en-US" w:eastAsia="zh-CN" w:bidi="ar"/>
        </w:rPr>
        <w:t>份，于</w:t>
      </w:r>
      <w:r>
        <w:rPr>
          <w:rStyle w:val="8"/>
          <w:rFonts w:hint="eastAsia" w:ascii="仿宋" w:hAnsi="仿宋" w:eastAsia="仿宋" w:cs="仿宋"/>
          <w:kern w:val="0"/>
          <w:sz w:val="28"/>
          <w:szCs w:val="28"/>
          <w:u w:val="single"/>
          <w:lang w:val="en-US" w:eastAsia="zh-CN" w:bidi="ar"/>
        </w:rPr>
        <w:t>会议召开前一周（5个工作日），递交至伦理办</w:t>
      </w:r>
      <w:r>
        <w:rPr>
          <w:rFonts w:hint="eastAsia" w:ascii="仿宋" w:hAnsi="仿宋" w:eastAsia="仿宋" w:cs="仿宋"/>
          <w:kern w:val="0"/>
          <w:sz w:val="28"/>
          <w:szCs w:val="28"/>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3、材料文件盒：准备</w:t>
      </w:r>
      <w:r>
        <w:rPr>
          <w:rFonts w:hint="eastAsia" w:ascii="仿宋" w:hAnsi="仿宋" w:eastAsia="仿宋" w:cs="仿宋"/>
          <w:b/>
          <w:bCs/>
          <w:kern w:val="0"/>
          <w:sz w:val="28"/>
          <w:szCs w:val="28"/>
          <w:u w:val="single"/>
          <w:lang w:val="en-US" w:eastAsia="zh-CN" w:bidi="ar"/>
        </w:rPr>
        <w:t>黑色文件盒1个</w:t>
      </w:r>
      <w:r>
        <w:rPr>
          <w:rFonts w:hint="eastAsia" w:ascii="仿宋" w:hAnsi="仿宋" w:eastAsia="仿宋" w:cs="仿宋"/>
          <w:kern w:val="0"/>
          <w:sz w:val="28"/>
          <w:szCs w:val="28"/>
          <w:lang w:val="en-US" w:eastAsia="zh-CN" w:bidi="ar"/>
        </w:rPr>
        <w:t>，</w:t>
      </w:r>
      <w:r>
        <w:rPr>
          <w:rFonts w:hint="eastAsia" w:ascii="仿宋" w:hAnsi="仿宋" w:eastAsia="仿宋" w:cs="仿宋"/>
          <w:b/>
          <w:bCs/>
          <w:kern w:val="0"/>
          <w:sz w:val="28"/>
          <w:szCs w:val="28"/>
          <w:u w:val="single"/>
          <w:lang w:val="en-US" w:eastAsia="zh-CN" w:bidi="ar"/>
        </w:rPr>
        <w:t>文件盒标签彩印(图2）</w:t>
      </w:r>
      <w:r>
        <w:rPr>
          <w:rFonts w:hint="eastAsia" w:ascii="仿宋" w:hAnsi="仿宋" w:eastAsia="仿宋" w:cs="仿宋"/>
          <w:kern w:val="0"/>
          <w:sz w:val="28"/>
          <w:szCs w:val="28"/>
          <w:lang w:val="en-US" w:eastAsia="zh-CN" w:bidi="ar"/>
        </w:rPr>
        <w:t>,用于存放后续跟踪审查材料；标签中的项目编号邮件咨询。该文件盒</w:t>
      </w:r>
      <w:r>
        <w:rPr>
          <w:rFonts w:hint="eastAsia" w:ascii="仿宋" w:hAnsi="仿宋" w:eastAsia="仿宋" w:cs="仿宋"/>
          <w:b/>
          <w:bCs/>
          <w:kern w:val="0"/>
          <w:sz w:val="28"/>
          <w:szCs w:val="28"/>
          <w:u w:val="single"/>
          <w:lang w:val="en-US" w:eastAsia="zh-CN" w:bidi="ar"/>
        </w:rPr>
        <w:t>与存档文件一起递交</w:t>
      </w:r>
      <w:r>
        <w:rPr>
          <w:rFonts w:hint="eastAsia" w:ascii="仿宋" w:hAnsi="仿宋" w:eastAsia="仿宋" w:cs="仿宋"/>
          <w:kern w:val="0"/>
          <w:sz w:val="28"/>
          <w:szCs w:val="28"/>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4、初始审查以及跟踪审查递交文件请至官网下载。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5、网址：</w:t>
      </w:r>
      <w:r>
        <w:rPr>
          <w:rFonts w:hint="eastAsia" w:ascii="仿宋" w:hAnsi="仿宋" w:eastAsia="仿宋" w:cs="仿宋"/>
          <w:kern w:val="0"/>
          <w:sz w:val="28"/>
          <w:szCs w:val="28"/>
          <w:lang w:val="en-US" w:eastAsia="zh-CN" w:bidi="ar"/>
        </w:rPr>
        <w:fldChar w:fldCharType="begin"/>
      </w:r>
      <w:r>
        <w:rPr>
          <w:rFonts w:hint="eastAsia" w:ascii="仿宋" w:hAnsi="仿宋" w:eastAsia="仿宋" w:cs="仿宋"/>
          <w:kern w:val="0"/>
          <w:sz w:val="28"/>
          <w:szCs w:val="28"/>
          <w:lang w:val="en-US" w:eastAsia="zh-CN" w:bidi="ar"/>
        </w:rPr>
        <w:instrText xml:space="preserve"> HYPERLINK "https://www.xmtcm.com/index/jiuzhen/keshi/cid/225.html" </w:instrText>
      </w:r>
      <w:r>
        <w:rPr>
          <w:rFonts w:hint="eastAsia" w:ascii="仿宋" w:hAnsi="仿宋" w:eastAsia="仿宋" w:cs="仿宋"/>
          <w:kern w:val="0"/>
          <w:sz w:val="28"/>
          <w:szCs w:val="28"/>
          <w:lang w:val="en-US" w:eastAsia="zh-CN" w:bidi="ar"/>
        </w:rPr>
        <w:fldChar w:fldCharType="separate"/>
      </w:r>
      <w:r>
        <w:rPr>
          <w:rFonts w:hint="eastAsia" w:ascii="仿宋" w:hAnsi="仿宋" w:eastAsia="仿宋" w:cs="仿宋"/>
          <w:kern w:val="0"/>
          <w:sz w:val="28"/>
          <w:szCs w:val="28"/>
          <w:lang w:val="en-US" w:eastAsia="zh-CN" w:bidi="ar"/>
        </w:rPr>
        <w:t>https://www.xmtcm.com/index/jiuzhen/keshi/cid/225.html</w:t>
      </w:r>
      <w:r>
        <w:rPr>
          <w:rFonts w:hint="eastAsia" w:ascii="仿宋" w:hAnsi="仿宋" w:eastAsia="仿宋" w:cs="仿宋"/>
          <w:kern w:val="0"/>
          <w:sz w:val="28"/>
          <w:szCs w:val="28"/>
          <w:lang w:val="en-US" w:eastAsia="zh-CN" w:bidi="ar"/>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lang w:val="en-US" w:eastAsia="zh-CN" w:bidi="ar"/>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Style w:val="8"/>
          <w:rFonts w:hint="eastAsia" w:ascii="仿宋" w:hAnsi="仿宋" w:eastAsia="仿宋" w:cs="仿宋"/>
          <w:sz w:val="28"/>
          <w:szCs w:val="28"/>
          <w:lang w:val="en-US" w:eastAsia="zh-CN"/>
        </w:rPr>
      </w:pPr>
      <w:r>
        <w:rPr>
          <w:rStyle w:val="8"/>
          <w:rFonts w:hint="eastAsia" w:ascii="仿宋" w:hAnsi="仿宋" w:eastAsia="仿宋" w:cs="仿宋"/>
          <w:sz w:val="28"/>
          <w:szCs w:val="28"/>
          <w:lang w:val="en-US" w:eastAsia="zh-CN"/>
        </w:rPr>
        <w:t>审查周期及结果通知方式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伦理审查会议一般每个月召开一次，例会时间为</w:t>
      </w:r>
      <w:r>
        <w:rPr>
          <w:rFonts w:hint="eastAsia" w:ascii="仿宋" w:hAnsi="仿宋" w:eastAsia="仿宋" w:cs="仿宋"/>
          <w:b/>
          <w:bCs/>
          <w:kern w:val="0"/>
          <w:sz w:val="28"/>
          <w:szCs w:val="28"/>
          <w:u w:val="single"/>
          <w:lang w:val="en-US" w:eastAsia="zh-CN" w:bidi="ar"/>
        </w:rPr>
        <w:t>每个月的中下旬</w:t>
      </w:r>
      <w:r>
        <w:rPr>
          <w:rFonts w:hint="eastAsia" w:ascii="仿宋" w:hAnsi="仿宋" w:eastAsia="仿宋" w:cs="仿宋"/>
          <w:kern w:val="0"/>
          <w:sz w:val="28"/>
          <w:szCs w:val="28"/>
          <w:lang w:val="en-US" w:eastAsia="zh-CN" w:bidi="ar"/>
        </w:rPr>
        <w:t>。会议时间确定后，秘书将定向通知到本次会议审查的临床试验申请人，告知具体参会事宜。书面审查意见一般在审查后7个工作日通知申请人，最长不超过10个工作日。</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会前准备</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汇报PPT（请于会议召开前一周发送至伦理办邮箱）</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汇报时间：5-7分钟；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汇报内容如下：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（1）研究的目的和意义；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（2）研究方案的设计与实施；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（3）受试者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的风险与受益；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（4）受试者的招募；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（5）知情同意书的内容；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（6）知情同意获取的过程；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（7）受试者损害的医疗处理和赔偿；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（8）受试者的隐私保护等。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PPT要求：画面生动，清晰。以上内容为主，尽量简练，结合表格、动画等其他辅助工具，确保7分钟汇报完。</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缴费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（1）伦理审查费请于伦理会议召开前一周打至医院帐户，打款时请备注项目名称与项目受理号；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（2）缴费凭证请于会议召开前一周发送至伦理办邮箱；</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（3）审查费明细：组长单位8000元加7%税点；参加单位5000元加7%税点。修正案审查1000元加7%税点，其他跟踪审查不收费。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highlight w:val="yellow"/>
        </w:rPr>
      </w:pPr>
      <w:r>
        <w:rPr>
          <w:rFonts w:hint="eastAsia" w:ascii="仿宋" w:hAnsi="仿宋" w:eastAsia="仿宋" w:cs="仿宋"/>
          <w:b w:val="0"/>
          <w:bCs w:val="0"/>
          <w:sz w:val="28"/>
          <w:szCs w:val="28"/>
          <w:lang w:val="en-US" w:eastAsia="zh-CN"/>
        </w:rPr>
        <w:t>（4）电子发票一般于缴费的次月开具并发送，如有疑问请咨询伦理办。</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注：医院账户</w:t>
      </w:r>
    </w:p>
    <w:p>
      <w:pPr>
        <w:spacing w:line="360" w:lineRule="auto"/>
        <w:rPr>
          <w:rFonts w:hint="eastAsia" w:ascii="仿宋" w:hAnsi="仿宋" w:eastAsia="仿宋" w:cs="仿宋"/>
          <w:sz w:val="28"/>
          <w:szCs w:val="28"/>
        </w:rPr>
      </w:pPr>
      <w:r>
        <w:rPr>
          <w:rFonts w:hint="eastAsia" w:ascii="仿宋" w:hAnsi="仿宋" w:eastAsia="仿宋" w:cs="仿宋"/>
          <w:sz w:val="28"/>
          <w:szCs w:val="28"/>
        </w:rPr>
        <w:t>户名：厦门市中医院；开户银行：兴业银行吕岭支行；账号：129300100100011266</w:t>
      </w:r>
    </w:p>
    <w:p>
      <w:pPr>
        <w:rPr>
          <w:rFonts w:hint="eastAsia"/>
          <w:b/>
          <w:bCs/>
          <w:sz w:val="28"/>
          <w:szCs w:val="28"/>
          <w:lang w:eastAsia="zh-CN"/>
        </w:rPr>
      </w:pPr>
    </w:p>
    <w:p>
      <w:pPr>
        <w:rPr>
          <w:rFonts w:hint="eastAsia"/>
          <w:b/>
          <w:bCs/>
          <w:sz w:val="28"/>
          <w:szCs w:val="28"/>
          <w:lang w:eastAsia="zh-CN"/>
        </w:rPr>
      </w:pPr>
      <w:r>
        <w:rPr>
          <w:rFonts w:hint="eastAsia"/>
          <w:b/>
          <w:bCs/>
          <w:sz w:val="28"/>
          <w:szCs w:val="28"/>
          <w:lang w:eastAsia="zh-CN"/>
        </w:rPr>
        <w:t>图</w:t>
      </w:r>
      <w:r>
        <w:rPr>
          <w:rFonts w:hint="eastAsia"/>
          <w:b/>
          <w:bCs/>
          <w:sz w:val="28"/>
          <w:szCs w:val="28"/>
          <w:lang w:val="en-US" w:eastAsia="zh-CN"/>
        </w:rPr>
        <w:t>1：</w:t>
      </w:r>
      <w:r>
        <w:rPr>
          <w:rFonts w:hint="eastAsia"/>
          <w:b/>
          <w:bCs/>
          <w:sz w:val="28"/>
          <w:szCs w:val="28"/>
          <w:lang w:eastAsia="zh-CN"/>
        </w:rPr>
        <w:t>胶装样式：</w:t>
      </w:r>
    </w:p>
    <w:p>
      <w:pPr>
        <w:rPr>
          <w:rFonts w:hint="eastAsia"/>
          <w:b/>
          <w:bCs/>
          <w:sz w:val="28"/>
          <w:szCs w:val="28"/>
          <w:lang w:eastAsia="zh-CN"/>
        </w:rPr>
      </w:pPr>
    </w:p>
    <w:p>
      <w:pPr>
        <w:rPr>
          <w:sz w:val="28"/>
          <w:szCs w:val="28"/>
        </w:rPr>
      </w:pPr>
      <w:r>
        <w:rPr>
          <w:rFonts w:hint="eastAsia"/>
          <w:sz w:val="36"/>
          <w:szCs w:val="36"/>
        </w:rPr>
        <w:drawing>
          <wp:inline distT="0" distB="0" distL="114300" distR="114300">
            <wp:extent cx="3522980" cy="4173220"/>
            <wp:effectExtent l="0" t="0" r="12700" b="2540"/>
            <wp:docPr id="3" name="图片 3" descr="74386896871583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43868968715830169"/>
                    <pic:cNvPicPr>
                      <a:picLocks noChangeAspect="1"/>
                    </pic:cNvPicPr>
                  </pic:nvPicPr>
                  <pic:blipFill>
                    <a:blip r:embed="rId4"/>
                    <a:srcRect l="-13611" t="4202" r="5383" b="2654"/>
                    <a:stretch>
                      <a:fillRect/>
                    </a:stretch>
                  </pic:blipFill>
                  <pic:spPr>
                    <a:xfrm>
                      <a:off x="0" y="0"/>
                      <a:ext cx="3522980" cy="4173220"/>
                    </a:xfrm>
                    <a:prstGeom prst="rect">
                      <a:avLst/>
                    </a:prstGeom>
                  </pic:spPr>
                </pic:pic>
              </a:graphicData>
            </a:graphic>
          </wp:inline>
        </w:drawing>
      </w:r>
    </w:p>
    <w:p>
      <w:pPr>
        <w:rPr>
          <w:sz w:val="28"/>
          <w:szCs w:val="28"/>
        </w:rPr>
      </w:pPr>
    </w:p>
    <w:p>
      <w:pPr>
        <w:rPr>
          <w:sz w:val="28"/>
          <w:szCs w:val="28"/>
        </w:rPr>
      </w:pPr>
    </w:p>
    <w:p>
      <w:pPr>
        <w:rPr>
          <w:sz w:val="28"/>
          <w:szCs w:val="28"/>
        </w:rPr>
      </w:pPr>
    </w:p>
    <w:p>
      <w:pPr>
        <w:rPr>
          <w:rFonts w:hint="eastAsia"/>
          <w:sz w:val="36"/>
          <w:szCs w:val="36"/>
        </w:rPr>
      </w:pPr>
    </w:p>
    <w:p>
      <w:pPr>
        <w:rPr>
          <w:rFonts w:hint="eastAsia"/>
          <w:sz w:val="36"/>
          <w:szCs w:val="36"/>
        </w:rPr>
      </w:pPr>
      <w:r>
        <w:rPr>
          <w:rFonts w:hint="eastAsia"/>
          <w:sz w:val="36"/>
          <w:szCs w:val="36"/>
        </w:rPr>
        <w:br w:type="page"/>
      </w:r>
    </w:p>
    <w:p>
      <w:pPr>
        <w:widowControl/>
        <w:spacing w:line="250" w:lineRule="atLeast"/>
        <w:jc w:val="left"/>
        <w:rPr>
          <w:rFonts w:hint="eastAsia" w:ascii="宋体" w:hAnsi="宋体" w:cs="宋体"/>
          <w:bCs/>
          <w:kern w:val="0"/>
          <w:sz w:val="24"/>
          <w:lang w:eastAsia="zh-CN"/>
        </w:rPr>
      </w:pPr>
      <w:r>
        <w:rPr>
          <w:rFonts w:hint="eastAsia" w:ascii="宋体" w:hAnsi="宋体" w:cs="宋体"/>
          <w:b/>
          <w:bCs w:val="0"/>
          <w:kern w:val="0"/>
          <w:sz w:val="24"/>
          <w:lang w:eastAsia="zh-CN"/>
        </w:rPr>
        <w:t>胶装材料封面</w:t>
      </w:r>
    </w:p>
    <w:p>
      <w:pPr>
        <w:widowControl/>
        <w:spacing w:line="250" w:lineRule="atLeast"/>
        <w:jc w:val="left"/>
        <w:rPr>
          <w:rFonts w:hint="eastAsia" w:ascii="宋体" w:hAnsi="宋体" w:cs="宋体"/>
          <w:bCs/>
          <w:kern w:val="0"/>
          <w:sz w:val="24"/>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30"/>
          <w:szCs w:val="30"/>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30"/>
          <w:szCs w:val="30"/>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30"/>
          <w:szCs w:val="30"/>
        </w:rPr>
      </w:pPr>
      <w:r>
        <w:rPr>
          <w:rFonts w:hint="eastAsia"/>
          <w:b/>
          <w:sz w:val="30"/>
          <w:szCs w:val="30"/>
        </w:rPr>
        <w:t>Y型PEG化重组人干扰素α2b注射液联合GM-CSF治疗HBeAg阳性慢性乙型肝炎的</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30"/>
          <w:szCs w:val="30"/>
        </w:rPr>
      </w:pPr>
      <w:r>
        <w:rPr>
          <w:rFonts w:hint="eastAsia"/>
          <w:b/>
          <w:sz w:val="30"/>
          <w:szCs w:val="30"/>
        </w:rPr>
        <w:t>多中心、随机、开放、平行对照临床试验</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30"/>
          <w:szCs w:val="30"/>
        </w:rPr>
      </w:pPr>
    </w:p>
    <w:p>
      <w:pPr>
        <w:widowControl/>
        <w:spacing w:line="250" w:lineRule="atLeast"/>
        <w:jc w:val="center"/>
        <w:rPr>
          <w:b/>
          <w:sz w:val="30"/>
          <w:szCs w:val="30"/>
        </w:rPr>
      </w:pPr>
    </w:p>
    <w:p>
      <w:pPr>
        <w:widowControl/>
        <w:spacing w:line="250" w:lineRule="atLeast"/>
        <w:jc w:val="center"/>
        <w:rPr>
          <w:rFonts w:ascii="宋体" w:hAnsi="宋体" w:cs="宋体"/>
          <w:b/>
          <w:bCs/>
          <w:kern w:val="0"/>
          <w:sz w:val="24"/>
        </w:rPr>
      </w:pPr>
    </w:p>
    <w:p>
      <w:pPr>
        <w:widowControl/>
        <w:spacing w:line="250" w:lineRule="atLeast"/>
        <w:jc w:val="center"/>
        <w:rPr>
          <w:rFonts w:ascii="宋体" w:hAnsi="宋体" w:cs="宋体"/>
          <w:b/>
          <w:bCs/>
          <w:kern w:val="0"/>
          <w:sz w:val="24"/>
        </w:rPr>
      </w:pPr>
    </w:p>
    <w:p>
      <w:pPr>
        <w:widowControl/>
        <w:spacing w:line="250" w:lineRule="atLeast"/>
        <w:jc w:val="center"/>
        <w:rPr>
          <w:rFonts w:ascii="宋体" w:hAnsi="宋体" w:cs="宋体"/>
          <w:b/>
          <w:bCs/>
          <w:kern w:val="0"/>
          <w:sz w:val="24"/>
        </w:rPr>
      </w:pPr>
    </w:p>
    <w:p>
      <w:pPr>
        <w:widowControl/>
        <w:spacing w:line="250" w:lineRule="atLeast"/>
        <w:jc w:val="center"/>
        <w:rPr>
          <w:rFonts w:cs="宋体" w:asciiTheme="minorEastAsia" w:hAnsiTheme="minorEastAsia" w:eastAsiaTheme="minorEastAsia"/>
          <w:b/>
          <w:bCs/>
          <w:kern w:val="0"/>
          <w:sz w:val="30"/>
          <w:szCs w:val="30"/>
        </w:rPr>
      </w:pPr>
    </w:p>
    <w:p>
      <w:pPr>
        <w:widowControl/>
        <w:spacing w:line="250" w:lineRule="atLeast"/>
        <w:ind w:firstLine="298" w:firstLineChars="99"/>
        <w:jc w:val="left"/>
        <w:rPr>
          <w:rFonts w:hint="eastAsia" w:cs="宋体" w:asciiTheme="minorEastAsia" w:hAnsiTheme="minorEastAsia" w:eastAsiaTheme="minorEastAsia"/>
          <w:b/>
          <w:bCs/>
          <w:kern w:val="0"/>
          <w:sz w:val="30"/>
          <w:szCs w:val="30"/>
        </w:rPr>
      </w:pPr>
    </w:p>
    <w:p>
      <w:pPr>
        <w:widowControl/>
        <w:spacing w:line="250" w:lineRule="atLeast"/>
        <w:ind w:firstLine="298" w:firstLineChars="99"/>
        <w:jc w:val="left"/>
        <w:rPr>
          <w:rFonts w:hint="eastAsia" w:cs="宋体" w:asciiTheme="minorEastAsia" w:hAnsiTheme="minorEastAsia" w:eastAsiaTheme="minorEastAsia"/>
          <w:b/>
          <w:bCs/>
          <w:kern w:val="0"/>
          <w:sz w:val="30"/>
          <w:szCs w:val="30"/>
        </w:rPr>
      </w:pPr>
    </w:p>
    <w:p>
      <w:pPr>
        <w:widowControl/>
        <w:spacing w:line="250" w:lineRule="atLeast"/>
        <w:ind w:firstLine="298" w:firstLineChars="99"/>
        <w:jc w:val="left"/>
        <w:rPr>
          <w:rFonts w:hint="eastAsia" w:cs="宋体" w:asciiTheme="minorEastAsia" w:hAnsiTheme="minorEastAsia" w:eastAsiaTheme="minorEastAsia"/>
          <w:b/>
          <w:bCs/>
          <w:kern w:val="0"/>
          <w:sz w:val="30"/>
          <w:szCs w:val="30"/>
        </w:rPr>
      </w:pPr>
    </w:p>
    <w:p>
      <w:pPr>
        <w:widowControl/>
        <w:spacing w:line="250" w:lineRule="atLeast"/>
        <w:ind w:firstLine="298" w:firstLineChars="99"/>
        <w:jc w:val="left"/>
        <w:rPr>
          <w:rFonts w:hint="eastAsia" w:cs="宋体" w:asciiTheme="minorEastAsia" w:hAnsiTheme="minorEastAsia" w:eastAsiaTheme="minorEastAsia"/>
          <w:b/>
          <w:bCs/>
          <w:kern w:val="0"/>
          <w:sz w:val="30"/>
          <w:szCs w:val="30"/>
        </w:rPr>
      </w:pPr>
    </w:p>
    <w:p>
      <w:pPr>
        <w:widowControl/>
        <w:spacing w:line="250" w:lineRule="atLeast"/>
        <w:ind w:firstLine="298" w:firstLineChars="99"/>
        <w:jc w:val="left"/>
        <w:rPr>
          <w:rFonts w:hint="eastAsia" w:cs="宋体" w:asciiTheme="minorEastAsia" w:hAnsiTheme="minorEastAsia" w:eastAsiaTheme="minorEastAsia"/>
          <w:b/>
          <w:bCs/>
          <w:kern w:val="0"/>
          <w:sz w:val="30"/>
          <w:szCs w:val="30"/>
        </w:rPr>
      </w:pPr>
    </w:p>
    <w:p>
      <w:pPr>
        <w:widowControl/>
        <w:spacing w:line="250" w:lineRule="atLeast"/>
        <w:ind w:firstLine="298" w:firstLineChars="99"/>
        <w:jc w:val="left"/>
        <w:rPr>
          <w:rFonts w:hint="eastAsia" w:cs="宋体" w:asciiTheme="minorEastAsia" w:hAnsiTheme="minorEastAsia" w:eastAsiaTheme="minorEastAsia"/>
          <w:b/>
          <w:bCs/>
          <w:kern w:val="0"/>
          <w:sz w:val="30"/>
          <w:szCs w:val="30"/>
        </w:rPr>
      </w:pPr>
    </w:p>
    <w:p>
      <w:pPr>
        <w:widowControl/>
        <w:spacing w:line="250" w:lineRule="atLeast"/>
        <w:ind w:firstLine="298" w:firstLineChars="99"/>
        <w:jc w:val="left"/>
        <w:rPr>
          <w:rFonts w:hint="eastAsia" w:cs="宋体" w:asciiTheme="minorEastAsia" w:hAnsiTheme="minorEastAsia" w:eastAsiaTheme="minorEastAsia"/>
          <w:b/>
          <w:bCs/>
          <w:kern w:val="0"/>
          <w:sz w:val="30"/>
          <w:szCs w:val="30"/>
        </w:rPr>
      </w:pPr>
    </w:p>
    <w:p>
      <w:pPr>
        <w:widowControl/>
        <w:spacing w:line="250" w:lineRule="atLeast"/>
        <w:ind w:firstLine="298" w:firstLineChars="99"/>
        <w:jc w:val="left"/>
        <w:rPr>
          <w:rFonts w:hint="eastAsia" w:cs="宋体" w:asciiTheme="minorEastAsia" w:hAnsiTheme="minorEastAsia" w:eastAsiaTheme="minorEastAsia"/>
          <w:b/>
          <w:bCs/>
          <w:kern w:val="0"/>
          <w:sz w:val="30"/>
          <w:szCs w:val="30"/>
        </w:rPr>
      </w:pPr>
    </w:p>
    <w:p>
      <w:pPr>
        <w:widowControl/>
        <w:spacing w:line="250" w:lineRule="atLeast"/>
        <w:ind w:firstLine="298" w:firstLineChars="99"/>
        <w:jc w:val="left"/>
        <w:rPr>
          <w:rFonts w:hint="eastAsia" w:cs="宋体" w:asciiTheme="minorEastAsia" w:hAnsiTheme="minorEastAsia" w:eastAsiaTheme="minorEastAsia"/>
          <w:b/>
          <w:bCs/>
          <w:kern w:val="0"/>
          <w:sz w:val="30"/>
          <w:szCs w:val="30"/>
        </w:rPr>
      </w:pPr>
    </w:p>
    <w:p>
      <w:pPr>
        <w:keepNext w:val="0"/>
        <w:keepLines w:val="0"/>
        <w:pageBreakBefore w:val="0"/>
        <w:widowControl/>
        <w:kinsoku/>
        <w:wordWrap/>
        <w:overflowPunct/>
        <w:topLinePunct w:val="0"/>
        <w:autoSpaceDE/>
        <w:autoSpaceDN/>
        <w:bidi w:val="0"/>
        <w:adjustRightInd/>
        <w:snapToGrid/>
        <w:spacing w:line="360" w:lineRule="auto"/>
        <w:ind w:firstLine="298" w:firstLineChars="99"/>
        <w:jc w:val="left"/>
        <w:textAlignment w:val="auto"/>
        <w:rPr>
          <w:rFonts w:hint="eastAsia" w:cs="宋体" w:asciiTheme="minorEastAsia" w:hAnsiTheme="minorEastAsia" w:eastAsiaTheme="minorEastAsia"/>
          <w:b/>
          <w:bCs/>
          <w:kern w:val="0"/>
          <w:sz w:val="30"/>
          <w:szCs w:val="30"/>
        </w:rPr>
      </w:pPr>
    </w:p>
    <w:p>
      <w:pPr>
        <w:keepNext w:val="0"/>
        <w:keepLines w:val="0"/>
        <w:pageBreakBefore w:val="0"/>
        <w:widowControl/>
        <w:kinsoku/>
        <w:wordWrap/>
        <w:overflowPunct/>
        <w:topLinePunct w:val="0"/>
        <w:autoSpaceDE/>
        <w:autoSpaceDN/>
        <w:bidi w:val="0"/>
        <w:adjustRightInd/>
        <w:snapToGrid/>
        <w:spacing w:line="360" w:lineRule="auto"/>
        <w:ind w:firstLine="298" w:firstLineChars="99"/>
        <w:jc w:val="left"/>
        <w:textAlignment w:val="auto"/>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申办方：厦门特宝生物工程股份有限公司</w:t>
      </w:r>
    </w:p>
    <w:p>
      <w:pPr>
        <w:keepNext w:val="0"/>
        <w:keepLines w:val="0"/>
        <w:pageBreakBefore w:val="0"/>
        <w:widowControl/>
        <w:kinsoku/>
        <w:wordWrap/>
        <w:overflowPunct/>
        <w:topLinePunct w:val="0"/>
        <w:autoSpaceDE/>
        <w:autoSpaceDN/>
        <w:bidi w:val="0"/>
        <w:adjustRightInd/>
        <w:snapToGrid/>
        <w:spacing w:line="360" w:lineRule="auto"/>
        <w:ind w:firstLine="298" w:firstLineChars="99"/>
        <w:jc w:val="left"/>
        <w:textAlignment w:val="auto"/>
        <w:rPr>
          <w:rFonts w:hint="eastAsia"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研究方：厦门市中医院</w:t>
      </w:r>
      <w:r>
        <w:rPr>
          <w:rFonts w:hint="eastAsia" w:asciiTheme="minorEastAsia" w:hAnsiTheme="minorEastAsia" w:eastAsiaTheme="minorEastAsia"/>
          <w:b/>
          <w:sz w:val="30"/>
          <w:szCs w:val="30"/>
        </w:rPr>
        <w:t>肝病中心</w:t>
      </w:r>
    </w:p>
    <w:p>
      <w:pPr>
        <w:keepNext w:val="0"/>
        <w:keepLines w:val="0"/>
        <w:pageBreakBefore w:val="0"/>
        <w:widowControl/>
        <w:kinsoku/>
        <w:wordWrap/>
        <w:overflowPunct/>
        <w:topLinePunct w:val="0"/>
        <w:autoSpaceDE/>
        <w:autoSpaceDN/>
        <w:bidi w:val="0"/>
        <w:adjustRightInd/>
        <w:snapToGrid/>
        <w:spacing w:line="360" w:lineRule="auto"/>
        <w:ind w:firstLine="298" w:firstLineChars="99"/>
        <w:jc w:val="left"/>
        <w:textAlignment w:val="auto"/>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主要研究者：毛乾国</w:t>
      </w:r>
    </w:p>
    <w:p>
      <w:pPr>
        <w:jc w:val="center"/>
        <w:rPr>
          <w:sz w:val="28"/>
          <w:szCs w:val="28"/>
        </w:rPr>
      </w:pPr>
    </w:p>
    <w:p>
      <w:pPr>
        <w:rPr>
          <w:rFonts w:hint="eastAsia"/>
          <w:sz w:val="36"/>
          <w:szCs w:val="36"/>
        </w:rPr>
      </w:pPr>
      <w:r>
        <w:rPr>
          <w:rFonts w:hint="eastAsia"/>
          <w:sz w:val="36"/>
          <w:szCs w:val="36"/>
        </w:rPr>
        <w:br w:type="page"/>
      </w:r>
    </w:p>
    <w:tbl>
      <w:tblPr>
        <w:tblStyle w:val="6"/>
        <w:tblpPr w:leftFromText="180" w:rightFromText="180" w:vertAnchor="page" w:horzAnchor="page" w:tblpX="4232" w:tblpY="173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0" w:hRule="atLeast"/>
        </w:trPr>
        <w:tc>
          <w:tcPr>
            <w:tcW w:w="2160" w:type="dxa"/>
            <w:tcBorders>
              <w:tl2br w:val="nil"/>
              <w:tr2bl w:val="nil"/>
            </w:tcBorders>
            <w:noWrap w:val="0"/>
            <w:vAlign w:val="top"/>
          </w:tcPr>
          <w:p>
            <w:pPr>
              <w:jc w:val="center"/>
              <w:rPr>
                <w:rFonts w:hint="eastAsia"/>
              </w:rPr>
            </w:pPr>
            <w:r>
              <w:rPr>
                <w:rFonts w:hint="eastAsia"/>
              </w:rPr>
              <w:drawing>
                <wp:inline distT="0" distB="0" distL="114300" distR="114300">
                  <wp:extent cx="1174115" cy="1174115"/>
                  <wp:effectExtent l="0" t="0" r="1460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174115" cy="1174115"/>
                          </a:xfrm>
                          <a:prstGeom prst="rect">
                            <a:avLst/>
                          </a:prstGeom>
                          <a:noFill/>
                          <a:ln>
                            <a:noFill/>
                          </a:ln>
                        </pic:spPr>
                      </pic:pic>
                    </a:graphicData>
                  </a:graphic>
                </wp:inline>
              </w:drawing>
            </w:r>
          </w:p>
          <w:p>
            <w:pPr>
              <w:jc w:val="both"/>
              <w:rPr>
                <w:rFonts w:hint="eastAsia"/>
                <w:sz w:val="21"/>
                <w:szCs w:val="21"/>
                <w:lang w:eastAsia="zh-CN"/>
              </w:rPr>
            </w:pPr>
          </w:p>
          <w:p>
            <w:pPr>
              <w:jc w:val="both"/>
              <w:rPr>
                <w:rFonts w:hint="eastAsia"/>
                <w:sz w:val="21"/>
                <w:szCs w:val="21"/>
                <w:lang w:eastAsia="zh-CN"/>
              </w:rPr>
            </w:pPr>
          </w:p>
          <w:p>
            <w:pPr>
              <w:jc w:val="center"/>
              <w:rPr>
                <w:rFonts w:hint="eastAsia"/>
                <w:b/>
                <w:bCs/>
                <w:sz w:val="24"/>
                <w:szCs w:val="24"/>
                <w:lang w:eastAsia="zh-CN"/>
              </w:rPr>
            </w:pPr>
          </w:p>
          <w:p>
            <w:pPr>
              <w:jc w:val="both"/>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项目编号：</w:t>
            </w:r>
          </w:p>
          <w:p>
            <w:pPr>
              <w:jc w:val="both"/>
              <w:rPr>
                <w:rFonts w:hint="eastAsia" w:ascii="黑体" w:hAnsi="黑体" w:eastAsia="黑体" w:cs="黑体"/>
                <w:b/>
                <w:bCs/>
                <w:sz w:val="24"/>
                <w:szCs w:val="24"/>
              </w:rPr>
            </w:pPr>
            <w:r>
              <w:rPr>
                <w:rFonts w:hint="eastAsia" w:ascii="黑体" w:hAnsi="黑体" w:eastAsia="黑体" w:cs="黑体"/>
                <w:b/>
                <w:bCs/>
                <w:sz w:val="24"/>
                <w:szCs w:val="24"/>
              </w:rPr>
              <w:t>201</w:t>
            </w:r>
            <w:r>
              <w:rPr>
                <w:rFonts w:hint="eastAsia" w:ascii="黑体" w:hAnsi="黑体" w:eastAsia="黑体" w:cs="黑体"/>
                <w:b/>
                <w:bCs/>
                <w:sz w:val="24"/>
                <w:szCs w:val="24"/>
                <w:lang w:val="en-US" w:eastAsia="zh-CN"/>
              </w:rPr>
              <w:t>8</w:t>
            </w:r>
            <w:r>
              <w:rPr>
                <w:rFonts w:hint="eastAsia" w:ascii="黑体" w:hAnsi="黑体" w:eastAsia="黑体" w:cs="黑体"/>
                <w:b/>
                <w:bCs/>
                <w:sz w:val="24"/>
                <w:szCs w:val="24"/>
              </w:rPr>
              <w:t>-Y008</w:t>
            </w:r>
          </w:p>
          <w:p>
            <w:pPr>
              <w:jc w:val="both"/>
              <w:rPr>
                <w:rFonts w:hint="eastAsia" w:ascii="黑体" w:hAnsi="黑体" w:eastAsia="黑体" w:cs="黑体"/>
                <w:b/>
                <w:bCs/>
                <w:sz w:val="24"/>
                <w:szCs w:val="24"/>
              </w:rPr>
            </w:pPr>
          </w:p>
          <w:p>
            <w:pPr>
              <w:jc w:val="both"/>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肠安颗粒治疗腹泻型肠易激综合征（肝郁脾虚证）的有效性和安全性多中心、随机、双盲、安慰剂平行对照</w:t>
            </w:r>
            <w:r>
              <w:rPr>
                <w:rFonts w:hint="eastAsia" w:ascii="黑体" w:hAnsi="黑体" w:eastAsia="黑体" w:cs="黑体"/>
                <w:b/>
                <w:bCs/>
                <w:sz w:val="24"/>
                <w:szCs w:val="24"/>
                <w:lang w:val="en-US" w:eastAsia="zh-CN"/>
              </w:rPr>
              <w:t>II期临床实验</w:t>
            </w:r>
          </w:p>
          <w:p>
            <w:pPr>
              <w:jc w:val="both"/>
              <w:rPr>
                <w:rFonts w:hint="eastAsia" w:ascii="黑体" w:hAnsi="黑体" w:eastAsia="黑体" w:cs="黑体"/>
                <w:b/>
                <w:bCs/>
                <w:sz w:val="24"/>
                <w:szCs w:val="24"/>
                <w:lang w:eastAsia="zh-CN"/>
              </w:rPr>
            </w:pPr>
          </w:p>
          <w:p>
            <w:pPr>
              <w:jc w:val="both"/>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中医消化科（Ⅱ期）</w:t>
            </w:r>
          </w:p>
          <w:p>
            <w:pPr>
              <w:jc w:val="both"/>
              <w:rPr>
                <w:rFonts w:hint="eastAsia" w:ascii="黑体" w:hAnsi="黑体" w:eastAsia="黑体" w:cs="黑体"/>
                <w:b/>
                <w:bCs/>
                <w:sz w:val="24"/>
                <w:szCs w:val="24"/>
              </w:rPr>
            </w:pPr>
          </w:p>
          <w:p>
            <w:pPr>
              <w:jc w:val="both"/>
              <w:rPr>
                <w:rFonts w:hint="eastAsia" w:ascii="黑体" w:hAnsi="黑体" w:eastAsia="黑体" w:cs="黑体"/>
                <w:b/>
                <w:bCs/>
                <w:sz w:val="24"/>
                <w:szCs w:val="24"/>
                <w:lang w:eastAsia="zh-CN"/>
              </w:rPr>
            </w:pPr>
          </w:p>
          <w:p>
            <w:pPr>
              <w:ind w:firstLine="241" w:firstLineChars="100"/>
              <w:jc w:val="both"/>
              <w:rPr>
                <w:rFonts w:hint="eastAsia"/>
                <w:b/>
                <w:bCs/>
                <w:sz w:val="24"/>
                <w:szCs w:val="24"/>
                <w:lang w:val="en-US" w:eastAsia="zh-CN"/>
              </w:rPr>
            </w:pPr>
            <w:r>
              <w:rPr>
                <w:rFonts w:hint="eastAsia"/>
                <w:b/>
                <w:bCs/>
                <w:sz w:val="24"/>
                <w:szCs w:val="24"/>
                <w:lang w:val="en-US" w:eastAsia="zh-CN"/>
              </w:rPr>
              <w:t>文件夹（一）</w:t>
            </w:r>
          </w:p>
          <w:p>
            <w:pPr>
              <w:jc w:val="both"/>
              <w:rPr>
                <w:rFonts w:hint="eastAsia" w:eastAsia="宋体"/>
                <w:lang w:eastAsia="zh-CN"/>
              </w:rPr>
            </w:pPr>
          </w:p>
        </w:tc>
      </w:tr>
    </w:tbl>
    <w:p>
      <w:pPr>
        <w:ind w:firstLine="281" w:firstLineChars="100"/>
        <w:rPr>
          <w:rFonts w:hint="eastAsia"/>
          <w:b/>
          <w:bCs/>
          <w:sz w:val="28"/>
          <w:szCs w:val="28"/>
          <w:lang w:val="en-US" w:eastAsia="zh-CN"/>
        </w:rPr>
      </w:pPr>
      <w:r>
        <w:rPr>
          <w:rFonts w:hint="eastAsia"/>
          <w:b/>
          <w:bCs/>
          <w:sz w:val="28"/>
          <w:szCs w:val="28"/>
          <w:lang w:val="en-US" w:eastAsia="zh-CN"/>
        </w:rPr>
        <w:t xml:space="preserve">图2：标签 </w:t>
      </w:r>
    </w:p>
    <w:p>
      <w:pPr>
        <w:ind w:firstLine="281" w:firstLineChars="100"/>
        <w:rPr>
          <w:rFonts w:hint="eastAsia"/>
          <w:b/>
          <w:bCs/>
          <w:sz w:val="28"/>
          <w:szCs w:val="28"/>
          <w:lang w:val="en-US" w:eastAsia="zh-CN"/>
        </w:rPr>
      </w:pPr>
      <w:r>
        <w:rPr>
          <w:rFonts w:hint="eastAsia"/>
          <w:b/>
          <w:bCs/>
          <w:sz w:val="28"/>
          <w:szCs w:val="28"/>
          <w:lang w:val="en-US" w:eastAsia="zh-CN"/>
        </w:rPr>
        <w:t xml:space="preserve">       </w:t>
      </w:r>
    </w:p>
    <w:p>
      <w:pPr>
        <w:ind w:firstLine="4498" w:firstLineChars="1600"/>
        <w:rPr>
          <w:rFonts w:hint="eastAsia"/>
          <w:b/>
          <w:bCs/>
          <w:sz w:val="28"/>
          <w:szCs w:val="28"/>
          <w:lang w:val="en-US" w:eastAsia="zh-CN"/>
        </w:rPr>
      </w:pPr>
    </w:p>
    <w:p>
      <w:pPr>
        <w:ind w:firstLine="4498" w:firstLineChars="1600"/>
        <w:rPr>
          <w:rFonts w:hint="eastAsia"/>
          <w:b/>
          <w:bCs/>
          <w:sz w:val="28"/>
          <w:szCs w:val="28"/>
          <w:lang w:val="en-US" w:eastAsia="zh-CN"/>
        </w:rPr>
      </w:pPr>
    </w:p>
    <w:p>
      <w:pPr>
        <w:ind w:firstLine="4498" w:firstLineChars="1600"/>
        <w:rPr>
          <w:rFonts w:hint="eastAsia"/>
          <w:b/>
          <w:bCs/>
          <w:sz w:val="28"/>
          <w:szCs w:val="28"/>
          <w:lang w:val="en-US" w:eastAsia="zh-CN"/>
        </w:rPr>
      </w:pPr>
    </w:p>
    <w:p>
      <w:pPr>
        <w:ind w:firstLine="4498" w:firstLineChars="1600"/>
        <w:rPr>
          <w:rFonts w:hint="eastAsia"/>
          <w:b/>
          <w:bCs/>
          <w:sz w:val="28"/>
          <w:szCs w:val="28"/>
          <w:lang w:val="en-US" w:eastAsia="zh-CN"/>
        </w:rPr>
      </w:pPr>
    </w:p>
    <w:p>
      <w:pPr>
        <w:ind w:firstLine="4498" w:firstLineChars="1600"/>
        <w:jc w:val="both"/>
        <w:rPr>
          <w:rFonts w:hint="eastAsia"/>
          <w:b/>
          <w:bCs/>
          <w:sz w:val="28"/>
          <w:szCs w:val="28"/>
          <w:lang w:val="en-US" w:eastAsia="zh-CN"/>
        </w:rPr>
      </w:pPr>
    </w:p>
    <w:p>
      <w:pPr>
        <w:ind w:firstLine="4498" w:firstLineChars="1600"/>
        <w:jc w:val="both"/>
        <w:rPr>
          <w:rFonts w:hint="eastAsia"/>
          <w:b/>
          <w:bCs/>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498" w:firstLineChars="1600"/>
        <w:jc w:val="left"/>
        <w:textAlignment w:val="auto"/>
        <w:rPr>
          <w:rFonts w:hint="eastAsia"/>
          <w:b/>
          <w:bCs/>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r>
        <w:rPr>
          <w:rFonts w:hint="eastAsia"/>
          <w:b/>
          <w:bCs/>
          <w:sz w:val="28"/>
          <w:szCs w:val="28"/>
          <w:lang w:val="en-US" w:eastAsia="zh-CN"/>
        </w:rPr>
        <w:t xml:space="preserve">1.改成申报项目信息，文本框大小可根据文件盒调整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b/>
          <w:bCs/>
          <w:sz w:val="28"/>
          <w:szCs w:val="28"/>
          <w:lang w:val="en-US" w:eastAsia="zh-CN"/>
        </w:rPr>
      </w:pPr>
      <w:r>
        <w:rPr>
          <w:rFonts w:hint="eastAsia"/>
          <w:b/>
          <w:bCs/>
          <w:sz w:val="28"/>
          <w:szCs w:val="28"/>
          <w:lang w:val="en-US" w:eastAsia="zh-CN"/>
        </w:rPr>
        <w:t>2.标签需要彩打</w:t>
      </w:r>
    </w:p>
    <w:p>
      <w:pPr>
        <w:jc w:val="center"/>
        <w:rPr>
          <w:sz w:val="28"/>
          <w:szCs w:val="28"/>
        </w:rPr>
      </w:pPr>
    </w:p>
    <w:p>
      <w:pPr>
        <w:jc w:val="center"/>
        <w:rPr>
          <w:sz w:val="28"/>
          <w:szCs w:val="28"/>
        </w:rPr>
      </w:pPr>
    </w:p>
    <w:p>
      <w:pPr>
        <w:jc w:val="center"/>
        <w:rPr>
          <w:sz w:val="28"/>
          <w:szCs w:val="28"/>
        </w:rPr>
      </w:pPr>
    </w:p>
    <w:p>
      <w:pPr>
        <w:rPr>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077E4E"/>
    <w:multiLevelType w:val="singleLevel"/>
    <w:tmpl w:val="FD077E4E"/>
    <w:lvl w:ilvl="0" w:tentative="0">
      <w:start w:val="3"/>
      <w:numFmt w:val="chineseCounting"/>
      <w:suff w:val="nothing"/>
      <w:lvlText w:val="%1、"/>
      <w:lvlJc w:val="left"/>
      <w:rPr>
        <w:rFonts w:hint="eastAsia"/>
      </w:rPr>
    </w:lvl>
  </w:abstractNum>
  <w:abstractNum w:abstractNumId="1">
    <w:nsid w:val="06FAC42F"/>
    <w:multiLevelType w:val="singleLevel"/>
    <w:tmpl w:val="06FAC42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Q2NDk0NjQ4MmMwYTFmYzA2ZDJkYTMxNGMzNzQ3NDAifQ=="/>
  </w:docVars>
  <w:rsids>
    <w:rsidRoot w:val="00895D82"/>
    <w:rsid w:val="0007120D"/>
    <w:rsid w:val="004969B9"/>
    <w:rsid w:val="0063405F"/>
    <w:rsid w:val="00852499"/>
    <w:rsid w:val="00895D82"/>
    <w:rsid w:val="00906D4F"/>
    <w:rsid w:val="009D2B20"/>
    <w:rsid w:val="00AA2569"/>
    <w:rsid w:val="00C029DF"/>
    <w:rsid w:val="00C16E29"/>
    <w:rsid w:val="00CE74B9"/>
    <w:rsid w:val="00DB537B"/>
    <w:rsid w:val="00EF62A5"/>
    <w:rsid w:val="067C3746"/>
    <w:rsid w:val="0721611C"/>
    <w:rsid w:val="0766298E"/>
    <w:rsid w:val="08256F7B"/>
    <w:rsid w:val="0A663382"/>
    <w:rsid w:val="0AC046DB"/>
    <w:rsid w:val="0DEA664D"/>
    <w:rsid w:val="0F6B1256"/>
    <w:rsid w:val="10B90636"/>
    <w:rsid w:val="13B240AE"/>
    <w:rsid w:val="14D11A93"/>
    <w:rsid w:val="18822006"/>
    <w:rsid w:val="1D1755B4"/>
    <w:rsid w:val="1F4C7E66"/>
    <w:rsid w:val="207C1065"/>
    <w:rsid w:val="20801848"/>
    <w:rsid w:val="22CC066B"/>
    <w:rsid w:val="23663ED2"/>
    <w:rsid w:val="24E210C2"/>
    <w:rsid w:val="25303A60"/>
    <w:rsid w:val="272D3298"/>
    <w:rsid w:val="2803132F"/>
    <w:rsid w:val="2BEA2C6D"/>
    <w:rsid w:val="2C033BF8"/>
    <w:rsid w:val="2C0E240B"/>
    <w:rsid w:val="2E574F59"/>
    <w:rsid w:val="31F1513D"/>
    <w:rsid w:val="34C81D6E"/>
    <w:rsid w:val="34F73262"/>
    <w:rsid w:val="35EC62CA"/>
    <w:rsid w:val="397E0E9B"/>
    <w:rsid w:val="3A9E02AB"/>
    <w:rsid w:val="3B7E384C"/>
    <w:rsid w:val="3DF9361F"/>
    <w:rsid w:val="3EB212A1"/>
    <w:rsid w:val="3ED170A6"/>
    <w:rsid w:val="3F5619B9"/>
    <w:rsid w:val="43094FC4"/>
    <w:rsid w:val="4416132E"/>
    <w:rsid w:val="50D0666B"/>
    <w:rsid w:val="52603076"/>
    <w:rsid w:val="536D1B36"/>
    <w:rsid w:val="555667CB"/>
    <w:rsid w:val="56846F29"/>
    <w:rsid w:val="582D46E4"/>
    <w:rsid w:val="5C330320"/>
    <w:rsid w:val="643C050D"/>
    <w:rsid w:val="65B02FB4"/>
    <w:rsid w:val="65BE63FA"/>
    <w:rsid w:val="66A92B99"/>
    <w:rsid w:val="6703755B"/>
    <w:rsid w:val="679C67BE"/>
    <w:rsid w:val="6940280A"/>
    <w:rsid w:val="6AFA700A"/>
    <w:rsid w:val="6F0B5318"/>
    <w:rsid w:val="7271752A"/>
    <w:rsid w:val="78F235E1"/>
    <w:rsid w:val="797E2CA5"/>
    <w:rsid w:val="7AF50108"/>
    <w:rsid w:val="7B1E47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0"/>
    <w:rPr>
      <w:sz w:val="18"/>
      <w:szCs w:val="18"/>
    </w:rPr>
  </w:style>
  <w:style w:type="paragraph" w:styleId="3">
    <w:name w:val="footer"/>
    <w:basedOn w:val="1"/>
    <w:link w:val="12"/>
    <w:qFormat/>
    <w:uiPriority w:val="0"/>
    <w:pPr>
      <w:tabs>
        <w:tab w:val="center" w:pos="4153"/>
        <w:tab w:val="right" w:pos="8306"/>
      </w:tabs>
      <w:snapToGrid w:val="0"/>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954F72" w:themeColor="followedHyperlink"/>
      <w:u w:val="single"/>
    </w:rPr>
  </w:style>
  <w:style w:type="character" w:styleId="10">
    <w:name w:val="Hyperlink"/>
    <w:basedOn w:val="7"/>
    <w:qFormat/>
    <w:uiPriority w:val="0"/>
    <w:rPr>
      <w:color w:val="0000FF"/>
      <w:u w:val="single"/>
    </w:rPr>
  </w:style>
  <w:style w:type="character" w:customStyle="1" w:styleId="11">
    <w:name w:val="页眉 Char"/>
    <w:basedOn w:val="7"/>
    <w:link w:val="4"/>
    <w:qFormat/>
    <w:uiPriority w:val="0"/>
    <w:rPr>
      <w:rFonts w:asciiTheme="minorHAnsi" w:hAnsiTheme="minorHAnsi" w:eastAsiaTheme="minorEastAsia" w:cstheme="minorBidi"/>
      <w:sz w:val="18"/>
      <w:szCs w:val="18"/>
    </w:rPr>
  </w:style>
  <w:style w:type="character" w:customStyle="1" w:styleId="12">
    <w:name w:val="页脚 Char"/>
    <w:basedOn w:val="7"/>
    <w:link w:val="3"/>
    <w:qFormat/>
    <w:uiPriority w:val="0"/>
    <w:rPr>
      <w:rFonts w:asciiTheme="minorHAnsi" w:hAnsiTheme="minorHAnsi" w:eastAsiaTheme="minorEastAsia" w:cstheme="minorBidi"/>
      <w:sz w:val="18"/>
      <w:szCs w:val="18"/>
    </w:rPr>
  </w:style>
  <w:style w:type="character" w:customStyle="1" w:styleId="13">
    <w:name w:val="批注框文本 Char"/>
    <w:basedOn w:val="7"/>
    <w:link w:val="2"/>
    <w:qFormat/>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892</Words>
  <Characters>1046</Characters>
  <Lines>7</Lines>
  <Paragraphs>2</Paragraphs>
  <TotalTime>10</TotalTime>
  <ScaleCrop>false</ScaleCrop>
  <LinksUpToDate>false</LinksUpToDate>
  <CharactersWithSpaces>1058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2018-02-26T08:23:00Z</dcterms:created>
  <dc:creator>Administrator</dc:creator>
  <cp:lastModifiedBy>秋</cp:lastModifiedBy>
  <dcterms:modified xsi:type="dcterms:W3CDTF">2024-05-09T07:58:20Z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587B90760BB4408CB05B74F812157C7D</vt:lpwstr>
  </property>
</Properties>
</file>