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11A3">
      <w:pPr>
        <w:pStyle w:val="2"/>
        <w:numPr>
          <w:ilvl w:val="0"/>
          <w:numId w:val="0"/>
        </w:numPr>
        <w:spacing w:before="156" w:after="156"/>
        <w:jc w:val="center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0" w:name="_Toc30048"/>
      <w:r>
        <w:rPr>
          <w:rFonts w:hint="eastAsia" w:asciiTheme="majorEastAsia" w:hAnsiTheme="majorEastAsia" w:eastAsiaTheme="majorEastAsia" w:cstheme="majorEastAsia"/>
          <w:sz w:val="21"/>
          <w:szCs w:val="21"/>
        </w:rPr>
        <w:t>厦门市中医院共享中药房平台建设及相关管理系统</w:t>
      </w:r>
    </w:p>
    <w:p w14:paraId="58BB8AF2">
      <w:pPr>
        <w:pStyle w:val="2"/>
        <w:numPr>
          <w:ilvl w:val="0"/>
          <w:numId w:val="0"/>
        </w:numPr>
        <w:spacing w:before="156" w:after="156"/>
        <w:jc w:val="center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建设目标</w:t>
      </w:r>
      <w:bookmarkEnd w:id="0"/>
      <w:bookmarkStart w:id="4" w:name="_GoBack"/>
      <w:bookmarkEnd w:id="4"/>
    </w:p>
    <w:p w14:paraId="70B65F0E">
      <w:pPr>
        <w:pStyle w:val="11"/>
        <w:ind w:firstLine="480" w:firstLineChars="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加强中药房、煎药室和信息互联平台建设。充分发挥市级中医医院在中医药服务体系中的骨干作用，依托其中医药人才、优质中药饮片和先进中药煎药设备等优势，建立区域中药饮片供应中心和共享中药房，运用互联网技术，为接入医疗卫生机构开展中药饮片处方在线审核、点评，线下配药、代煎、配送等中医药服务。降低基层医疗卫生机构中药药事服务运行本钱，实现区域优质中医药服务资源共享，促进基层中医药服务能力提升。</w:t>
      </w:r>
    </w:p>
    <w:p w14:paraId="3D4AB880">
      <w:pPr>
        <w:ind w:firstLine="480"/>
        <w:jc w:val="left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药学查询信息系统可为医护人员提供权威的临床药物信息查询途径，帮助临床专业人员及时了解和掌握最新的医药专业知识和资讯，为医生提供权威的临床用药决策信息支持。</w:t>
      </w:r>
    </w:p>
    <w:p w14:paraId="0388C688">
      <w:pPr>
        <w:pStyle w:val="2"/>
        <w:numPr>
          <w:ilvl w:val="0"/>
          <w:numId w:val="0"/>
        </w:numPr>
        <w:spacing w:before="156" w:after="156"/>
        <w:jc w:val="center"/>
        <w:rPr>
          <w:rFonts w:hint="eastAsia" w:asciiTheme="majorEastAsia" w:hAnsiTheme="majorEastAsia" w:eastAsiaTheme="majorEastAsia" w:cstheme="majorEastAsia"/>
          <w:sz w:val="21"/>
          <w:szCs w:val="21"/>
        </w:rPr>
      </w:pPr>
      <w:bookmarkStart w:id="1" w:name="_Toc111303248"/>
      <w:bookmarkStart w:id="2" w:name="_Toc110807957"/>
      <w:bookmarkStart w:id="3" w:name="_Toc30181"/>
      <w:r>
        <w:rPr>
          <w:rFonts w:hint="eastAsia" w:asciiTheme="majorEastAsia" w:hAnsiTheme="majorEastAsia" w:eastAsiaTheme="majorEastAsia" w:cstheme="majorEastAsia"/>
          <w:sz w:val="21"/>
          <w:szCs w:val="21"/>
        </w:rPr>
        <w:t>建设内容</w:t>
      </w:r>
      <w:bookmarkEnd w:id="1"/>
      <w:bookmarkEnd w:id="2"/>
      <w:bookmarkEnd w:id="3"/>
    </w:p>
    <w:p w14:paraId="368783B4">
      <w:pPr>
        <w:pStyle w:val="5"/>
        <w:spacing w:line="500" w:lineRule="exact"/>
        <w:ind w:firstLine="480"/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建设共享中药房平台。系统可与医院、社区卫生服务机构HIS系统进行接口对接，实现各级处方汇集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至共享中药房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平台，统一由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平台合理用药前置审方及事后处方点评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。</w:t>
      </w:r>
    </w:p>
    <w:p w14:paraId="7ABD8A91">
      <w:pPr>
        <w:pStyle w:val="5"/>
        <w:spacing w:line="500" w:lineRule="exact"/>
        <w:ind w:firstLine="480"/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建设代煎代配管理平台。审核通过的处方按照既定规则分发至代煎、代配中心进行煎配操作，严格按《医疗机构中药煎药室管理规范》的要求设立，规范代煎代配操作环境、设备、操作人员、工艺流程，确保设施设备、包装标签、操作流程、卫生环境等方面符合相关规定和要求。</w:t>
      </w:r>
    </w:p>
    <w:p w14:paraId="22856FF0">
      <w:pPr>
        <w:pStyle w:val="5"/>
        <w:ind w:firstLine="480"/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采集代煎代配各环节的工艺数据、图像影像数据并进行存档，统一对煎配中心进行数据监管和流程监管。监管平台可以查抽各煎配中心的生产过程及关键指标数据，饮片溯源信息；患者可通过平台查看处方煎配进度，快递配送进度，饮片溯源信息。</w:t>
      </w:r>
    </w:p>
    <w:p w14:paraId="262245BD">
      <w:pPr>
        <w:pStyle w:val="5"/>
        <w:ind w:firstLine="480"/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实施共享中药房库存管理，通过信息化手段，可以有效保证药材的质量和供应、做到统一采购、统一存储、补货预警、质量检查、统一配送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，</w:t>
      </w: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确保患者用药安全。</w:t>
      </w:r>
    </w:p>
    <w:p w14:paraId="44FDFE10">
      <w:pPr>
        <w:pStyle w:val="5"/>
        <w:ind w:firstLine="480"/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收集并分析电子处方数据，发现疾病分布特征、用药趋势等信息，为科研机构和医疗机构提供有价值的数据资源。</w:t>
      </w:r>
    </w:p>
    <w:p w14:paraId="297249D0">
      <w:pPr>
        <w:pStyle w:val="5"/>
        <w:ind w:firstLine="480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kern w:val="2"/>
          <w:sz w:val="21"/>
          <w:szCs w:val="21"/>
        </w:rPr>
        <w:t>建设药物信息查询系统，包括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合理用药查询、合理用药审查。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502F1"/>
    <w:multiLevelType w:val="multilevel"/>
    <w:tmpl w:val="232502F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ascii="黑体" w:hAnsi="黑体" w:eastAsia="黑体"/>
      </w:r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352685"/>
    <w:rsid w:val="00352685"/>
    <w:rsid w:val="00476C23"/>
    <w:rsid w:val="00915085"/>
    <w:rsid w:val="00ED3BED"/>
    <w:rsid w:val="2BB4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numPr>
        <w:ilvl w:val="2"/>
        <w:numId w:val="1"/>
      </w:numPr>
      <w:spacing w:before="400" w:after="320" w:line="240" w:lineRule="auto"/>
      <w:ind w:left="0" w:firstLine="0" w:firstLineChars="0"/>
      <w:jc w:val="left"/>
      <w:outlineLvl w:val="2"/>
    </w:pPr>
    <w:rPr>
      <w:rFonts w:ascii="Calibri" w:hAnsi="Calibri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uiPriority w:val="9"/>
    <w:rPr>
      <w:rFonts w:ascii="Calibri" w:hAnsi="Calibri" w:eastAsia="黑体" w:cs="Times New Roman"/>
      <w:b/>
      <w:bCs/>
      <w:sz w:val="30"/>
      <w:szCs w:val="32"/>
    </w:rPr>
  </w:style>
  <w:style w:type="paragraph" w:customStyle="1" w:styleId="11">
    <w:name w:val="正文（缩进）"/>
    <w:qFormat/>
    <w:uiPriority w:val="0"/>
    <w:pPr>
      <w:spacing w:before="120" w:after="120" w:line="360" w:lineRule="auto"/>
      <w:ind w:firstLine="200" w:firstLineChars="200"/>
      <w:jc w:val="both"/>
    </w:pPr>
    <w:rPr>
      <w:rFonts w:ascii="宋体" w:hAnsi="宋体" w:eastAsia="宋体" w:cs="Times New Roman (正文 CS 字体)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732</Characters>
  <Lines>5</Lines>
  <Paragraphs>1</Paragraphs>
  <TotalTime>0</TotalTime>
  <ScaleCrop>false</ScaleCrop>
  <LinksUpToDate>false</LinksUpToDate>
  <CharactersWithSpaces>732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2024-08-29T11:18:00Z</dcterms:created>
  <dc:creator>Administrator</dc:creator>
  <cp:lastModifiedBy>王伟毅</cp:lastModifiedBy>
  <dcterms:modified xsi:type="dcterms:W3CDTF">2024-09-04T07:28:37Z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AA2286A5D4DA4817975749542228765F_12</vt:lpwstr>
  </property>
</Properties>
</file>