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BB050">
      <w:pPr>
        <w:bidi w:val="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厦门市中医院</w:t>
      </w:r>
    </w:p>
    <w:p w14:paraId="0A6CFCED">
      <w:pPr>
        <w:bidi w:val="0"/>
        <w:jc w:val="center"/>
        <w:rPr>
          <w:rFonts w:hint="default"/>
          <w:lang w:val="en-US"/>
        </w:rPr>
      </w:pPr>
      <w:r>
        <w:rPr>
          <w:rFonts w:hint="eastAsia" w:ascii="黑体" w:hAnsi="黑体" w:eastAsia="黑体" w:cs="黑体"/>
          <w:b w:val="0"/>
          <w:bCs w:val="0"/>
          <w:sz w:val="36"/>
          <w:szCs w:val="36"/>
          <w:lang w:val="en-US" w:eastAsia="zh-CN"/>
        </w:rPr>
        <w:t>机房UPS维保服务</w:t>
      </w:r>
      <w:bookmarkStart w:id="0" w:name="_Toc9717"/>
      <w:bookmarkStart w:id="1" w:name="_Toc18346"/>
      <w:r>
        <w:rPr>
          <w:rFonts w:hint="eastAsia" w:ascii="黑体" w:hAnsi="黑体" w:eastAsia="黑体" w:cs="黑体"/>
          <w:b w:val="0"/>
          <w:bCs w:val="0"/>
          <w:sz w:val="36"/>
          <w:szCs w:val="36"/>
          <w:lang w:val="en-US" w:eastAsia="zh-CN"/>
        </w:rPr>
        <w:t>项目</w:t>
      </w:r>
    </w:p>
    <w:p w14:paraId="5D55F587">
      <w:pPr>
        <w:pStyle w:val="3"/>
        <w:bidi w:val="0"/>
        <w:rPr>
          <w:rFonts w:hint="eastAsia" w:ascii="宋体" w:hAnsi="宋体" w:eastAsia="宋体" w:cs="宋体"/>
          <w:sz w:val="24"/>
          <w:szCs w:val="24"/>
        </w:rPr>
      </w:pPr>
      <w:r>
        <w:rPr>
          <w:rFonts w:hint="eastAsia" w:ascii="宋体" w:hAnsi="宋体" w:eastAsia="宋体" w:cs="宋体"/>
          <w:sz w:val="24"/>
          <w:szCs w:val="24"/>
        </w:rPr>
        <w:t>一、项目概况</w:t>
      </w:r>
      <w:bookmarkEnd w:id="0"/>
      <w:bookmarkEnd w:id="1"/>
    </w:p>
    <w:p w14:paraId="4018383F">
      <w:pPr>
        <w:spacing w:line="360" w:lineRule="auto"/>
        <w:ind w:firstLine="480" w:firstLineChars="200"/>
        <w:rPr>
          <w:rFonts w:hint="eastAsia" w:ascii="宋体" w:hAnsi="宋体"/>
          <w:color w:val="000000"/>
          <w:sz w:val="24"/>
        </w:rPr>
      </w:pPr>
      <w:bookmarkStart w:id="2" w:name="_Toc681"/>
      <w:r>
        <w:rPr>
          <w:rFonts w:hint="eastAsia" w:ascii="宋体" w:hAnsi="宋体"/>
          <w:bCs/>
          <w:color w:val="000000"/>
          <w:sz w:val="24"/>
        </w:rPr>
        <w:t>由于厦门市中医院数字信息化的快速发展，医院各业务部门的工作对信息化应用的依赖度越来越高，各业务部门的信息化设备越来越多，对用电稳定性的要求也越来越高，为满足各业务系统扩容需求及保证各业务系统的稳定运行，提高运行效率，消除机房突发事件而造成各业务部门信息系统设备宕机，从而引起数据丢失，影响业务处理，造成社会不良影响的要求，启动该项目。本项目采用专家级服务外包方式。</w:t>
      </w:r>
    </w:p>
    <w:p w14:paraId="07C994B7">
      <w:pPr>
        <w:pStyle w:val="3"/>
        <w:numPr>
          <w:ilvl w:val="0"/>
          <w:numId w:val="1"/>
        </w:numPr>
        <w:spacing w:before="0" w:after="0" w:line="360" w:lineRule="auto"/>
        <w:ind w:firstLine="482"/>
        <w:jc w:val="left"/>
        <w:rPr>
          <w:rFonts w:hint="eastAsia" w:ascii="宋体" w:hAnsi="宋体" w:eastAsia="宋体" w:cs="宋体"/>
          <w:sz w:val="24"/>
          <w:szCs w:val="24"/>
        </w:rPr>
      </w:pPr>
      <w:bookmarkStart w:id="3" w:name="_Toc61119826"/>
      <w:bookmarkStart w:id="4" w:name="_Toc20169"/>
      <w:bookmarkStart w:id="5" w:name="_Toc27529"/>
      <w:r>
        <w:rPr>
          <w:rFonts w:hint="eastAsia" w:ascii="宋体" w:hAnsi="宋体" w:eastAsia="宋体" w:cs="宋体"/>
          <w:sz w:val="24"/>
          <w:szCs w:val="24"/>
        </w:rPr>
        <w:t>项目主要内容</w:t>
      </w:r>
      <w:bookmarkEnd w:id="3"/>
      <w:bookmarkEnd w:id="4"/>
      <w:bookmarkEnd w:id="5"/>
    </w:p>
    <w:bookmarkEnd w:id="2"/>
    <w:p w14:paraId="65083F53">
      <w:pPr>
        <w:spacing w:line="360" w:lineRule="auto"/>
        <w:ind w:firstLine="480" w:firstLineChars="200"/>
        <w:rPr>
          <w:rFonts w:hint="eastAsia" w:ascii="宋体" w:hAnsi="宋体"/>
          <w:bCs/>
          <w:color w:val="000000"/>
          <w:sz w:val="24"/>
        </w:rPr>
      </w:pPr>
      <w:r>
        <w:rPr>
          <w:rFonts w:hint="eastAsia" w:ascii="宋体" w:hAnsi="宋体"/>
          <w:bCs/>
          <w:color w:val="000000"/>
          <w:sz w:val="24"/>
        </w:rPr>
        <w:t>1.</w:t>
      </w:r>
      <w:r>
        <w:rPr>
          <w:rFonts w:hint="eastAsia" w:ascii="宋体" w:hAnsi="宋体"/>
          <w:b/>
          <w:bCs w:val="0"/>
          <w:color w:val="000000"/>
          <w:sz w:val="24"/>
        </w:rPr>
        <w:t>本项目</w:t>
      </w:r>
      <w:r>
        <w:rPr>
          <w:rFonts w:hint="eastAsia" w:ascii="宋体" w:hAnsi="宋体"/>
          <w:b/>
          <w:bCs w:val="0"/>
          <w:color w:val="000000"/>
          <w:sz w:val="24"/>
          <w:lang w:val="en-US" w:eastAsia="zh-CN"/>
        </w:rPr>
        <w:t>电源系统外包服务采用电度单价*年用电量结算，制冷系统、环境监控系统（含视频及门禁）、机房基础环境系统采用固定年服务费结算</w:t>
      </w:r>
      <w:r>
        <w:rPr>
          <w:rFonts w:hint="eastAsia" w:ascii="宋体" w:hAnsi="宋体"/>
          <w:b/>
          <w:bCs w:val="0"/>
          <w:color w:val="000000"/>
          <w:sz w:val="24"/>
        </w:rPr>
        <w:t>，</w:t>
      </w:r>
      <w:r>
        <w:rPr>
          <w:rFonts w:hint="eastAsia" w:ascii="宋体" w:hAnsi="宋体"/>
          <w:bCs/>
          <w:color w:val="000000"/>
          <w:sz w:val="24"/>
        </w:rPr>
        <w:t>服务商提供项目所需的设备及设备建设完成后的运维服务，服务商对所提供的机房系统相关设备运行负责，对出现故障问题而造成的用户设备宕机，服务商承担扣减服务费用等相关违约责任。</w:t>
      </w:r>
    </w:p>
    <w:p w14:paraId="484D81D3">
      <w:pPr>
        <w:spacing w:line="360" w:lineRule="auto"/>
        <w:ind w:firstLine="482" w:firstLineChars="200"/>
        <w:rPr>
          <w:rFonts w:hint="eastAsia" w:ascii="宋体" w:hAnsi="宋体"/>
          <w:b/>
          <w:bCs w:val="0"/>
          <w:color w:val="000000"/>
          <w:sz w:val="24"/>
        </w:rPr>
      </w:pPr>
      <w:r>
        <w:rPr>
          <w:rFonts w:hint="eastAsia" w:ascii="宋体" w:hAnsi="宋体"/>
          <w:b/>
          <w:bCs w:val="0"/>
          <w:color w:val="000000"/>
          <w:sz w:val="24"/>
        </w:rPr>
        <w:t>2.服务商的建设及维护责任范围：</w:t>
      </w:r>
    </w:p>
    <w:p w14:paraId="1BA048DF">
      <w:pPr>
        <w:spacing w:line="360" w:lineRule="auto"/>
        <w:ind w:firstLine="482" w:firstLineChars="200"/>
        <w:rPr>
          <w:rFonts w:hint="eastAsia" w:ascii="宋体" w:hAnsi="宋体" w:eastAsia="宋体"/>
          <w:b/>
          <w:bCs w:val="0"/>
          <w:color w:val="000000"/>
          <w:sz w:val="24"/>
          <w:lang w:val="en-US" w:eastAsia="zh-CN"/>
        </w:rPr>
      </w:pPr>
      <w:r>
        <w:rPr>
          <w:rFonts w:hint="eastAsia" w:ascii="宋体" w:hAnsi="宋体"/>
          <w:b/>
          <w:bCs w:val="0"/>
          <w:color w:val="000000"/>
          <w:sz w:val="24"/>
        </w:rPr>
        <w:t>总院机房：电源系统、制冷系统、环境监控系统（含视频及门禁系统）、机房装修系统</w:t>
      </w:r>
      <w:r>
        <w:rPr>
          <w:rFonts w:hint="eastAsia" w:ascii="宋体" w:hAnsi="宋体"/>
          <w:b/>
          <w:bCs w:val="0"/>
          <w:color w:val="000000"/>
          <w:sz w:val="24"/>
          <w:lang w:val="en-US" w:eastAsia="zh-CN"/>
        </w:rPr>
        <w:t>；</w:t>
      </w:r>
    </w:p>
    <w:p w14:paraId="77B54A72">
      <w:pPr>
        <w:spacing w:line="360" w:lineRule="auto"/>
        <w:ind w:left="479" w:leftChars="228" w:firstLine="0" w:firstLineChars="0"/>
        <w:rPr>
          <w:rFonts w:hint="eastAsia" w:ascii="宋体" w:hAnsi="宋体"/>
          <w:b/>
          <w:bCs w:val="0"/>
          <w:color w:val="000000"/>
          <w:sz w:val="24"/>
          <w:lang w:eastAsia="zh-CN"/>
        </w:rPr>
      </w:pPr>
      <w:r>
        <w:rPr>
          <w:rFonts w:hint="eastAsia" w:ascii="宋体" w:hAnsi="宋体"/>
          <w:b/>
          <w:bCs w:val="0"/>
          <w:color w:val="000000"/>
          <w:sz w:val="24"/>
        </w:rPr>
        <w:t>分院备机房：电源系统、制冷系统、环境监控系统（含视频及门禁系统</w:t>
      </w:r>
      <w:r>
        <w:rPr>
          <w:rFonts w:hint="eastAsia" w:ascii="宋体" w:hAnsi="宋体"/>
          <w:b/>
          <w:bCs w:val="0"/>
          <w:color w:val="000000"/>
          <w:sz w:val="24"/>
          <w:lang w:eastAsia="zh-CN"/>
        </w:rPr>
        <w:t>）。</w:t>
      </w:r>
    </w:p>
    <w:p w14:paraId="2C54950F">
      <w:pPr>
        <w:spacing w:line="360" w:lineRule="auto"/>
        <w:ind w:firstLine="482" w:firstLineChars="200"/>
        <w:rPr>
          <w:rFonts w:hint="eastAsia" w:ascii="宋体" w:hAnsi="宋体"/>
          <w:b/>
          <w:bCs w:val="0"/>
          <w:color w:val="000000"/>
          <w:sz w:val="24"/>
        </w:rPr>
      </w:pPr>
      <w:r>
        <w:rPr>
          <w:rFonts w:hint="eastAsia" w:ascii="宋体" w:hAnsi="宋体"/>
          <w:b/>
          <w:bCs w:val="0"/>
          <w:color w:val="000000"/>
          <w:sz w:val="24"/>
        </w:rPr>
        <w:t>具体建设及运维需求详见项目主要设备技术指标要求及项目主要服务指标要求。</w:t>
      </w:r>
    </w:p>
    <w:p w14:paraId="47E9B6F0">
      <w:pPr>
        <w:pStyle w:val="3"/>
        <w:spacing w:before="0" w:after="0" w:line="360" w:lineRule="auto"/>
        <w:ind w:firstLine="482" w:firstLineChars="200"/>
        <w:jc w:val="left"/>
        <w:rPr>
          <w:rFonts w:hint="eastAsia" w:ascii="宋体" w:hAnsi="宋体" w:eastAsia="宋体" w:cs="宋体"/>
          <w:sz w:val="24"/>
          <w:szCs w:val="24"/>
        </w:rPr>
      </w:pPr>
      <w:bookmarkStart w:id="6" w:name="_Toc13514"/>
      <w:r>
        <w:rPr>
          <w:rFonts w:hint="eastAsia" w:ascii="宋体" w:hAnsi="宋体" w:eastAsia="宋体" w:cs="宋体"/>
          <w:sz w:val="24"/>
          <w:szCs w:val="24"/>
        </w:rPr>
        <w:t>三、服务要求</w:t>
      </w:r>
      <w:bookmarkEnd w:id="6"/>
    </w:p>
    <w:p w14:paraId="3965B94C">
      <w:pPr>
        <w:spacing w:line="360" w:lineRule="auto"/>
        <w:ind w:firstLine="480" w:firstLineChars="200"/>
        <w:rPr>
          <w:rFonts w:hint="eastAsia"/>
          <w:b/>
          <w:bCs/>
          <w:sz w:val="24"/>
        </w:rPr>
      </w:pPr>
      <w:r>
        <w:rPr>
          <w:rFonts w:hint="eastAsia" w:ascii="宋体" w:hAnsi="宋体"/>
          <w:bCs/>
          <w:color w:val="000000"/>
          <w:sz w:val="24"/>
        </w:rPr>
        <w:t>1.保证</w:t>
      </w:r>
      <w:bookmarkStart w:id="28" w:name="_GoBack"/>
      <w:r>
        <w:rPr>
          <w:rFonts w:hint="eastAsia" w:ascii="宋体" w:hAnsi="宋体"/>
          <w:bCs/>
          <w:color w:val="000000"/>
          <w:sz w:val="24"/>
        </w:rPr>
        <w:t>电源可用性不低于99.99%，由于电源系统故障造成用户机房设备宕机，扣除当年服务费的100%，用户有权终止合同。</w:t>
      </w:r>
    </w:p>
    <w:p w14:paraId="18ED0857">
      <w:pPr>
        <w:spacing w:line="360" w:lineRule="auto"/>
        <w:ind w:firstLine="480" w:firstLineChars="200"/>
        <w:rPr>
          <w:rFonts w:hint="eastAsia"/>
          <w:color w:val="000000"/>
          <w:sz w:val="24"/>
        </w:rPr>
      </w:pPr>
      <w:r>
        <w:rPr>
          <w:rFonts w:hint="eastAsia"/>
          <w:color w:val="000000"/>
          <w:sz w:val="24"/>
        </w:rPr>
        <w:t>2.保证主机房制冷系统可用性不低于99.99%，由于制冷系统故障造成用户机房设备宕机，扣除当年服务费的100%，用户有权终止合同。</w:t>
      </w:r>
    </w:p>
    <w:p w14:paraId="1C80330D">
      <w:pPr>
        <w:spacing w:line="360" w:lineRule="auto"/>
        <w:ind w:firstLine="480" w:firstLineChars="200"/>
        <w:rPr>
          <w:rFonts w:hint="eastAsia" w:ascii="宋体" w:hAnsi="宋体"/>
          <w:bCs/>
          <w:color w:val="000000"/>
          <w:sz w:val="24"/>
        </w:rPr>
      </w:pPr>
      <w:r>
        <w:rPr>
          <w:rFonts w:hint="eastAsia" w:ascii="宋体" w:hAnsi="宋体"/>
          <w:bCs/>
          <w:color w:val="000000"/>
          <w:sz w:val="24"/>
        </w:rPr>
        <w:t>3</w:t>
      </w:r>
      <w:r>
        <w:rPr>
          <w:rFonts w:hint="eastAsia" w:ascii="宋体" w:hAnsi="宋体"/>
          <w:bCs/>
          <w:color w:val="000000"/>
          <w:sz w:val="24"/>
          <w:lang w:val="en-US" w:eastAsia="zh-CN"/>
        </w:rPr>
        <w:t>.</w:t>
      </w:r>
      <w:r>
        <w:rPr>
          <w:rFonts w:hint="eastAsia" w:ascii="宋体" w:hAnsi="宋体"/>
          <w:bCs/>
          <w:color w:val="000000"/>
          <w:sz w:val="24"/>
        </w:rPr>
        <w:t>提供实施改造实施方案，制定实施计划，提</w:t>
      </w:r>
      <w:bookmarkEnd w:id="28"/>
      <w:r>
        <w:rPr>
          <w:rFonts w:hint="eastAsia" w:ascii="宋体" w:hAnsi="宋体"/>
          <w:bCs/>
          <w:color w:val="000000"/>
          <w:sz w:val="24"/>
        </w:rPr>
        <w:t>供详细的系统施工套图。包括但不限于以下图纸：</w:t>
      </w:r>
    </w:p>
    <w:p w14:paraId="2F36F6E3">
      <w:pPr>
        <w:spacing w:line="360" w:lineRule="auto"/>
        <w:ind w:firstLine="480" w:firstLineChars="200"/>
        <w:rPr>
          <w:rFonts w:hint="eastAsia" w:ascii="宋体" w:hAnsi="宋体"/>
          <w:bCs/>
          <w:color w:val="000000"/>
          <w:sz w:val="24"/>
        </w:rPr>
      </w:pPr>
      <w:r>
        <w:rPr>
          <w:rFonts w:hint="eastAsia" w:ascii="宋体" w:hAnsi="宋体"/>
          <w:bCs/>
          <w:color w:val="000000"/>
          <w:sz w:val="24"/>
        </w:rPr>
        <w:t>1）电源系统：《电源系统拓扑图》、《设备位置布局图》、《配电电路图》、《电源线缆布线走线图》等；</w:t>
      </w:r>
    </w:p>
    <w:p w14:paraId="4E6D3F86">
      <w:pPr>
        <w:spacing w:line="360" w:lineRule="auto"/>
        <w:ind w:firstLine="480" w:firstLineChars="200"/>
        <w:rPr>
          <w:rFonts w:hint="eastAsia" w:ascii="宋体" w:hAnsi="宋体"/>
          <w:bCs/>
          <w:color w:val="000000"/>
          <w:sz w:val="24"/>
        </w:rPr>
      </w:pPr>
      <w:r>
        <w:rPr>
          <w:rFonts w:hint="eastAsia" w:ascii="宋体" w:hAnsi="宋体"/>
          <w:bCs/>
          <w:color w:val="000000"/>
          <w:sz w:val="24"/>
        </w:rPr>
        <w:t>2）制冷系统：《设备位置布局图》、《室外机布局及安装图》、《制冷系统管线走线图》、《冷热风通道气流交换示意图》；</w:t>
      </w:r>
    </w:p>
    <w:p w14:paraId="0EA26460">
      <w:pPr>
        <w:spacing w:line="360" w:lineRule="auto"/>
        <w:ind w:firstLine="480" w:firstLineChars="200"/>
        <w:rPr>
          <w:rFonts w:hint="eastAsia" w:ascii="宋体" w:hAnsi="宋体"/>
          <w:bCs/>
          <w:color w:val="000000"/>
          <w:sz w:val="24"/>
        </w:rPr>
      </w:pPr>
      <w:r>
        <w:rPr>
          <w:rFonts w:hint="eastAsia" w:ascii="宋体" w:hAnsi="宋体"/>
          <w:bCs/>
          <w:color w:val="000000"/>
          <w:sz w:val="24"/>
        </w:rPr>
        <w:t>3）环境监控系统：《环境监控系统拓扑图》、《监测点位图》、《综合布线走线图》</w:t>
      </w:r>
      <w:r>
        <w:rPr>
          <w:rFonts w:hint="eastAsia" w:ascii="宋体" w:hAnsi="宋体"/>
          <w:bCs/>
          <w:color w:val="000000"/>
          <w:sz w:val="24"/>
          <w:lang w:eastAsia="zh-CN"/>
        </w:rPr>
        <w:t>服务商</w:t>
      </w:r>
      <w:r>
        <w:rPr>
          <w:rFonts w:hint="eastAsia" w:ascii="宋体" w:hAnsi="宋体"/>
          <w:bCs/>
          <w:color w:val="000000"/>
          <w:sz w:val="24"/>
        </w:rPr>
        <w:t>应针对下述采购人的要求，提出相应的设计建设方案，并对电源系统、制冷系统改造进行可靠性、可维性及可扩性分析。</w:t>
      </w:r>
    </w:p>
    <w:p w14:paraId="5ADB0B55">
      <w:pPr>
        <w:pStyle w:val="2"/>
        <w:ind w:firstLine="480" w:firstLineChars="200"/>
        <w:rPr>
          <w:rFonts w:hint="eastAsia" w:asciiTheme="minorEastAsia" w:hAnsiTheme="minorEastAsia" w:eastAsiaTheme="minorEastAsia" w:cstheme="minorEastAsia"/>
          <w:sz w:val="24"/>
          <w:highlight w:val="none"/>
          <w:lang w:eastAsia="zh-CN"/>
        </w:rPr>
      </w:pPr>
      <w:r>
        <w:rPr>
          <w:rFonts w:hint="eastAsia" w:ascii="宋体" w:hAnsi="宋体"/>
          <w:bCs/>
          <w:color w:val="000000"/>
          <w:sz w:val="24"/>
          <w:lang w:val="en-US" w:eastAsia="zh-CN"/>
        </w:rPr>
        <w:t>4.</w:t>
      </w:r>
      <w:r>
        <w:rPr>
          <w:rFonts w:hint="eastAsia" w:asciiTheme="minorEastAsia" w:hAnsiTheme="minorEastAsia" w:eastAsiaTheme="minorEastAsia" w:cstheme="minorEastAsia"/>
          <w:sz w:val="24"/>
          <w:highlight w:val="none"/>
        </w:rPr>
        <w:t>新旧系统切换过程中要确保负载设备供电不中断</w:t>
      </w:r>
      <w:bookmarkStart w:id="7" w:name="_Toc31549"/>
      <w:r>
        <w:rPr>
          <w:rFonts w:hint="eastAsia" w:asciiTheme="minorEastAsia" w:hAnsiTheme="minorEastAsia" w:eastAsiaTheme="minorEastAsia" w:cstheme="minorEastAsia"/>
          <w:sz w:val="24"/>
          <w:highlight w:val="none"/>
          <w:lang w:eastAsia="zh-CN"/>
        </w:rPr>
        <w:t>。</w:t>
      </w:r>
    </w:p>
    <w:p w14:paraId="7DF41446">
      <w:pPr>
        <w:pStyle w:val="2"/>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w:t>
      </w:r>
      <w:bookmarkStart w:id="8" w:name="_Toc24118"/>
      <w:bookmarkStart w:id="9" w:name="_Toc25539"/>
      <w:r>
        <w:rPr>
          <w:rFonts w:hint="eastAsia" w:ascii="宋体" w:hAnsi="宋体" w:eastAsia="宋体" w:cs="宋体"/>
          <w:b/>
          <w:bCs/>
          <w:sz w:val="24"/>
          <w:szCs w:val="24"/>
        </w:rPr>
        <w:t>电源系统技术指标要求</w:t>
      </w:r>
      <w:bookmarkEnd w:id="7"/>
      <w:bookmarkEnd w:id="8"/>
      <w:bookmarkEnd w:id="9"/>
    </w:p>
    <w:p w14:paraId="5EF897C0">
      <w:pPr>
        <w:spacing w:line="360" w:lineRule="auto"/>
        <w:ind w:firstLine="480" w:firstLineChars="200"/>
        <w:rPr>
          <w:rFonts w:hint="eastAsia" w:ascii="宋体" w:hAnsi="宋体"/>
          <w:bCs/>
          <w:color w:val="000000"/>
          <w:sz w:val="24"/>
        </w:rPr>
      </w:pPr>
      <w:bookmarkStart w:id="10" w:name="_Toc25836"/>
      <w:bookmarkStart w:id="11" w:name="_Toc15358"/>
      <w:r>
        <w:rPr>
          <w:rFonts w:hint="eastAsia" w:ascii="宋体" w:hAnsi="宋体"/>
          <w:bCs/>
          <w:color w:val="000000"/>
          <w:sz w:val="24"/>
        </w:rPr>
        <w:t>（一）总院主机房：</w:t>
      </w:r>
      <w:bookmarkEnd w:id="10"/>
      <w:bookmarkEnd w:id="11"/>
    </w:p>
    <w:p w14:paraId="47D276E4">
      <w:pPr>
        <w:spacing w:line="360" w:lineRule="auto"/>
        <w:ind w:firstLine="480" w:firstLineChars="200"/>
        <w:rPr>
          <w:rFonts w:hint="eastAsia"/>
          <w:color w:val="000000"/>
          <w:sz w:val="24"/>
        </w:rPr>
      </w:pPr>
      <w:r>
        <w:rPr>
          <w:rFonts w:hint="eastAsia" w:ascii="宋体" w:hAnsi="宋体"/>
          <w:bCs/>
          <w:color w:val="000000"/>
          <w:sz w:val="24"/>
        </w:rPr>
        <w:t>1.机房电源系统采用双系统双冗余构架设计，配电结构设计按照双回路（双系统）</w:t>
      </w:r>
      <w:r>
        <w:rPr>
          <w:rFonts w:hint="eastAsia"/>
          <w:color w:val="000000"/>
          <w:sz w:val="24"/>
        </w:rPr>
        <w:t>构架，主机按照双系统并机（双冗余）进行构架，防雷等级按照3级防雷配置。</w:t>
      </w:r>
    </w:p>
    <w:p w14:paraId="4D4EBCBB">
      <w:pPr>
        <w:spacing w:line="360" w:lineRule="auto"/>
        <w:ind w:firstLine="480" w:firstLineChars="200"/>
        <w:rPr>
          <w:rFonts w:hint="eastAsia"/>
          <w:color w:val="000000"/>
          <w:sz w:val="24"/>
        </w:rPr>
      </w:pPr>
      <w:r>
        <w:rPr>
          <w:rFonts w:hint="eastAsia"/>
          <w:color w:val="000000"/>
          <w:sz w:val="24"/>
        </w:rPr>
        <w:t>3.电源系统构架容量要满足采购人最大100KVA负载容量。</w:t>
      </w:r>
    </w:p>
    <w:p w14:paraId="48EB1D65">
      <w:pPr>
        <w:spacing w:line="360" w:lineRule="auto"/>
        <w:ind w:firstLine="480" w:firstLineChars="200"/>
        <w:rPr>
          <w:color w:val="000000"/>
          <w:sz w:val="24"/>
        </w:rPr>
      </w:pPr>
      <w:r>
        <w:rPr>
          <w:rFonts w:hint="eastAsia"/>
          <w:color w:val="000000"/>
          <w:sz w:val="24"/>
        </w:rPr>
        <w:t>4.不间断电源主机系统，采用2 *（1+1）冗余配置，设备负载冗余≥200%，首期单机基础容量不小于30KVA（4台），UPS主机采用具有输出隔离变压器（工频机）。</w:t>
      </w:r>
    </w:p>
    <w:p w14:paraId="52FB38D3">
      <w:pPr>
        <w:spacing w:line="360" w:lineRule="auto"/>
        <w:ind w:firstLine="480" w:firstLineChars="200"/>
        <w:rPr>
          <w:rFonts w:hint="eastAsia"/>
          <w:color w:val="000000"/>
          <w:sz w:val="24"/>
        </w:rPr>
      </w:pPr>
      <w:r>
        <w:rPr>
          <w:rFonts w:hint="eastAsia"/>
          <w:color w:val="000000"/>
          <w:sz w:val="24"/>
        </w:rPr>
        <w:t>5.后备电池配置：</w:t>
      </w:r>
    </w:p>
    <w:p w14:paraId="48E57F5E">
      <w:pPr>
        <w:spacing w:line="360" w:lineRule="auto"/>
        <w:ind w:firstLine="480" w:firstLineChars="200"/>
        <w:rPr>
          <w:rFonts w:hint="eastAsia"/>
          <w:color w:val="000000"/>
          <w:sz w:val="24"/>
        </w:rPr>
      </w:pPr>
      <w:r>
        <w:rPr>
          <w:rFonts w:hint="eastAsia"/>
          <w:color w:val="000000"/>
          <w:sz w:val="24"/>
          <w:lang w:eastAsia="zh-CN"/>
        </w:rPr>
        <w:t>（</w:t>
      </w:r>
      <w:r>
        <w:rPr>
          <w:rFonts w:hint="eastAsia"/>
          <w:color w:val="000000"/>
          <w:sz w:val="24"/>
          <w:lang w:val="en-US" w:eastAsia="zh-CN"/>
        </w:rPr>
        <w:t>1</w:t>
      </w:r>
      <w:r>
        <w:rPr>
          <w:rFonts w:hint="eastAsia"/>
          <w:color w:val="000000"/>
          <w:sz w:val="24"/>
          <w:lang w:eastAsia="zh-CN"/>
        </w:rPr>
        <w:t>）</w:t>
      </w:r>
      <w:r>
        <w:rPr>
          <w:rFonts w:hint="eastAsia"/>
          <w:color w:val="000000"/>
          <w:sz w:val="24"/>
          <w:lang w:val="en-US" w:eastAsia="zh-CN"/>
        </w:rPr>
        <w:t>电池 ：</w:t>
      </w:r>
      <w:r>
        <w:rPr>
          <w:rFonts w:hint="eastAsia"/>
          <w:color w:val="000000"/>
          <w:sz w:val="24"/>
        </w:rPr>
        <w:t>后备电池延时系统所配置的电池组容量，必须满足在用户的负载（如果用户负载增长，服务商需做相应的调整）下至少延时2个小时的延时时长，服务商初期需提供电池的数量不得少于116节，单节电池容量不低于12V 100AH。</w:t>
      </w:r>
    </w:p>
    <w:p w14:paraId="0BFB1050">
      <w:pPr>
        <w:pStyle w:val="2"/>
        <w:ind w:firstLine="480"/>
        <w:rPr>
          <w:rFonts w:hint="default"/>
          <w:color w:val="000000"/>
          <w:sz w:val="24"/>
          <w:lang w:val="en-US" w:eastAsia="zh-CN"/>
        </w:rPr>
      </w:pPr>
      <w:r>
        <w:rPr>
          <w:rFonts w:hint="eastAsia"/>
          <w:color w:val="000000"/>
          <w:sz w:val="24"/>
          <w:lang w:val="en-US" w:eastAsia="zh-CN"/>
        </w:rPr>
        <w:t>（2）电池柜：电池柜柜体采用一体式，四侧带通风孔板门，柜体配置二次检测线路，安装集成输出检测端口及电池总电压电压表，并配置一套电池智能管理系统，电池的活化及容量验收放电可通过电池柜预置的输出端口，实时采集（可设置采集周期不高于5秒一次）电池组的单节电压、总电压、充放电电流的数据并自动存储，自动生成对应的充放电曲线，自动生成检测报告。</w:t>
      </w:r>
    </w:p>
    <w:p w14:paraId="05AB699D">
      <w:pPr>
        <w:pStyle w:val="2"/>
        <w:ind w:firstLine="480"/>
        <w:rPr>
          <w:rFonts w:hint="default"/>
          <w:color w:val="000000"/>
          <w:sz w:val="24"/>
          <w:lang w:val="en-US" w:eastAsia="zh-CN"/>
        </w:rPr>
      </w:pPr>
      <w:r>
        <w:rPr>
          <w:rFonts w:hint="eastAsia"/>
          <w:color w:val="000000"/>
          <w:sz w:val="24"/>
          <w:lang w:val="en-US" w:eastAsia="zh-CN"/>
        </w:rPr>
        <w:t>（3）电池温度监控：为保障电池的使用安全，防止因电池故障造成电池温度失控发热未能及时发现引起电池自燃的安全事故，每组电池柜体内安装至少一个温度检测探头，温度数据可通过手机APP实时查看，可设置告警阀值，当温度超过预设阀值时可通过电话话音及短信报警。</w:t>
      </w:r>
    </w:p>
    <w:p w14:paraId="490511B6">
      <w:pPr>
        <w:spacing w:line="360" w:lineRule="auto"/>
        <w:ind w:firstLine="480" w:firstLineChars="200"/>
        <w:rPr>
          <w:rFonts w:hint="eastAsia"/>
          <w:color w:val="000000"/>
          <w:sz w:val="24"/>
        </w:rPr>
      </w:pPr>
      <w:r>
        <w:rPr>
          <w:rFonts w:hint="eastAsia"/>
          <w:color w:val="000000"/>
          <w:sz w:val="24"/>
        </w:rPr>
        <w:t>6.电源系统配电</w:t>
      </w:r>
    </w:p>
    <w:p w14:paraId="5D1FF7A5">
      <w:pPr>
        <w:spacing w:line="360" w:lineRule="auto"/>
        <w:ind w:firstLine="240" w:firstLineChars="100"/>
        <w:rPr>
          <w:rFonts w:hint="eastAsia"/>
          <w:color w:val="000000"/>
          <w:sz w:val="24"/>
        </w:rPr>
      </w:pPr>
      <w:r>
        <w:rPr>
          <w:rFonts w:hint="eastAsia"/>
          <w:color w:val="000000"/>
          <w:sz w:val="24"/>
        </w:rPr>
        <w:t>（</w:t>
      </w:r>
      <w:r>
        <w:rPr>
          <w:rFonts w:hint="eastAsia"/>
          <w:color w:val="000000"/>
          <w:sz w:val="24"/>
          <w:lang w:val="en-US" w:eastAsia="zh-CN"/>
        </w:rPr>
        <w:t>1</w:t>
      </w:r>
      <w:r>
        <w:rPr>
          <w:rFonts w:hint="eastAsia"/>
          <w:color w:val="000000"/>
          <w:sz w:val="24"/>
        </w:rPr>
        <w:t>）信息中心机房总配，按照采购人提供输入电缆规格，进行最大化的配置，要求一次配置到位。</w:t>
      </w:r>
    </w:p>
    <w:p w14:paraId="79995D21">
      <w:pPr>
        <w:spacing w:line="360" w:lineRule="auto"/>
        <w:ind w:firstLine="240" w:firstLineChars="100"/>
        <w:rPr>
          <w:rFonts w:hint="eastAsia"/>
          <w:color w:val="000000"/>
          <w:sz w:val="24"/>
        </w:rPr>
      </w:pPr>
      <w:r>
        <w:rPr>
          <w:rFonts w:hint="eastAsia"/>
          <w:color w:val="000000"/>
          <w:sz w:val="24"/>
        </w:rPr>
        <w:t>（</w:t>
      </w:r>
      <w:r>
        <w:rPr>
          <w:rFonts w:hint="eastAsia"/>
          <w:color w:val="000000"/>
          <w:sz w:val="24"/>
          <w:lang w:val="en-US" w:eastAsia="zh-CN"/>
        </w:rPr>
        <w:t>2</w:t>
      </w:r>
      <w:r>
        <w:rPr>
          <w:rFonts w:hint="eastAsia"/>
          <w:color w:val="000000"/>
          <w:sz w:val="24"/>
        </w:rPr>
        <w:t>）信息中心总配，包括输入配电（含ATS互投），UPS输入输出配电，机房市电设备配电，精密列头柜配电，要求配置不少于4个独立配电柜，要求C级防雷。</w:t>
      </w:r>
    </w:p>
    <w:p w14:paraId="041938A1">
      <w:pPr>
        <w:spacing w:line="360" w:lineRule="auto"/>
        <w:ind w:firstLine="240" w:firstLineChars="100"/>
        <w:rPr>
          <w:color w:val="000000"/>
          <w:sz w:val="24"/>
        </w:rPr>
      </w:pPr>
      <w:r>
        <w:rPr>
          <w:rFonts w:hint="eastAsia"/>
          <w:color w:val="000000"/>
          <w:sz w:val="24"/>
        </w:rPr>
        <w:t>（</w:t>
      </w:r>
      <w:r>
        <w:rPr>
          <w:rFonts w:hint="eastAsia"/>
          <w:color w:val="000000"/>
          <w:sz w:val="24"/>
          <w:lang w:val="en-US" w:eastAsia="zh-CN"/>
        </w:rPr>
        <w:t>3</w:t>
      </w:r>
      <w:r>
        <w:rPr>
          <w:rFonts w:hint="eastAsia"/>
          <w:color w:val="000000"/>
          <w:sz w:val="24"/>
        </w:rPr>
        <w:t>）电源系统列头柜，要求采用精密配电列头柜，配置数量不少于1台，精密配电列头柜配电系统设计建设为一台标准机柜体积的精密配电列头柜，做为两套不间断UPS电源系统的支路输出列头柜，每个列头柜为现有数据机房内机柜提供至少2个支路输出回路，特殊机柜按实际需求进行配置，并留足够备用回路余量，每个列头柜需配置C级防雷器。</w:t>
      </w:r>
    </w:p>
    <w:p w14:paraId="7F4BB622">
      <w:pPr>
        <w:spacing w:line="360" w:lineRule="auto"/>
        <w:ind w:firstLine="240" w:firstLineChars="100"/>
        <w:rPr>
          <w:rFonts w:hint="eastAsia"/>
          <w:color w:val="000000"/>
          <w:sz w:val="24"/>
        </w:rPr>
      </w:pPr>
      <w:r>
        <w:rPr>
          <w:rFonts w:hint="eastAsia"/>
          <w:color w:val="000000"/>
          <w:sz w:val="24"/>
        </w:rPr>
        <w:t>（5）机柜配电，要求满足不低于80%的采购人设备使用机柜数量的机柜配电容量≥6KVA，不低于20%的采购人设备使用机柜数量的机柜配电容量≥10KVA，要求高密度机柜位置可进行任意配置。</w:t>
      </w:r>
    </w:p>
    <w:p w14:paraId="5CCF744D">
      <w:pPr>
        <w:spacing w:line="360" w:lineRule="auto"/>
        <w:ind w:firstLine="480" w:firstLineChars="200"/>
        <w:rPr>
          <w:rFonts w:hint="eastAsia"/>
          <w:color w:val="000000"/>
          <w:sz w:val="24"/>
        </w:rPr>
      </w:pPr>
      <w:r>
        <w:rPr>
          <w:rFonts w:hint="eastAsia"/>
          <w:color w:val="000000"/>
          <w:sz w:val="24"/>
        </w:rPr>
        <w:t>（6）末端PDU供电，要求每个机柜提供至少两个PDU供电单元（A、B系统各一个），每个PDU单元提供的插口数量需满足本机柜双电源设备的数量，PDU提供C</w:t>
      </w:r>
      <w:r>
        <w:rPr>
          <w:color w:val="000000"/>
          <w:sz w:val="24"/>
        </w:rPr>
        <w:t>13</w:t>
      </w:r>
      <w:r>
        <w:rPr>
          <w:rFonts w:hint="eastAsia"/>
          <w:color w:val="000000"/>
          <w:sz w:val="24"/>
        </w:rPr>
        <w:t>接口不得少于</w:t>
      </w:r>
      <w:r>
        <w:rPr>
          <w:color w:val="000000"/>
          <w:sz w:val="24"/>
        </w:rPr>
        <w:t>12</w:t>
      </w:r>
      <w:r>
        <w:rPr>
          <w:rFonts w:hint="eastAsia"/>
          <w:color w:val="000000"/>
          <w:sz w:val="24"/>
        </w:rPr>
        <w:t>位，C</w:t>
      </w:r>
      <w:r>
        <w:rPr>
          <w:color w:val="000000"/>
          <w:sz w:val="24"/>
        </w:rPr>
        <w:t>19</w:t>
      </w:r>
      <w:r>
        <w:rPr>
          <w:rFonts w:hint="eastAsia"/>
          <w:color w:val="000000"/>
          <w:sz w:val="24"/>
        </w:rPr>
        <w:t>接口不得少于3位，PDU单元采用工业防插座连接，当后期因机柜负载增加初始建设安装的PDU供电单元所提供的电源插口数量不够时，用户通知服务商，服务商应及时无偿在不影响机柜内设备不间断运行下，增加PDU单元供电插口数。</w:t>
      </w:r>
    </w:p>
    <w:p w14:paraId="7FD5387C">
      <w:pPr>
        <w:spacing w:line="360" w:lineRule="auto"/>
        <w:ind w:firstLine="480" w:firstLineChars="200"/>
        <w:rPr>
          <w:rFonts w:hint="eastAsia" w:ascii="Times New Roman" w:hAnsi="Times New Roman" w:cs="Times New Roman"/>
          <w:color w:val="000000"/>
          <w:sz w:val="24"/>
          <w:lang w:val="en-US" w:eastAsia="zh-CN"/>
        </w:rPr>
      </w:pPr>
      <w:bookmarkStart w:id="12" w:name="_Toc12463"/>
      <w:r>
        <w:rPr>
          <w:rFonts w:hint="eastAsia" w:ascii="Times New Roman" w:hAnsi="Times New Roman" w:cs="Times New Roman"/>
          <w:color w:val="000000"/>
          <w:sz w:val="24"/>
          <w:lang w:val="en-US" w:eastAsia="zh-CN"/>
        </w:rPr>
        <w:t>（二）分院机房</w:t>
      </w:r>
    </w:p>
    <w:p w14:paraId="4341E7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1.机房电源系统采用并机冗余构架设计，配电结构设计按照双回路（单系统）构架，主机按照单系统并机1+1冗余进行构架，防雷等级按照3级防雷配置。</w:t>
      </w:r>
    </w:p>
    <w:p w14:paraId="0336923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.电源系统构架容量要满足采购人最大60KVA负载容量。</w:t>
      </w:r>
    </w:p>
    <w:p w14:paraId="2652EE6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.不间断电源主机系统，采用（1+1）冗余配置，设备负载冗余≥100%，首期单机基础容量不小于30KVA（2台），UPS主机采用具有输出隔离变压器（工频机）。</w:t>
      </w:r>
    </w:p>
    <w:p w14:paraId="68E3CD3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.后备电池配置：</w:t>
      </w:r>
    </w:p>
    <w:p w14:paraId="11B7A3DF">
      <w:pPr>
        <w:spacing w:line="360" w:lineRule="auto"/>
        <w:ind w:firstLine="480" w:firstLineChars="200"/>
        <w:rPr>
          <w:rFonts w:hint="eastAsia"/>
          <w:color w:val="000000"/>
          <w:sz w:val="24"/>
        </w:rPr>
      </w:pPr>
      <w:r>
        <w:rPr>
          <w:rFonts w:hint="eastAsia"/>
          <w:color w:val="000000"/>
          <w:sz w:val="24"/>
          <w:lang w:eastAsia="zh-CN"/>
        </w:rPr>
        <w:t>（</w:t>
      </w:r>
      <w:r>
        <w:rPr>
          <w:rFonts w:hint="eastAsia"/>
          <w:color w:val="000000"/>
          <w:sz w:val="24"/>
          <w:lang w:val="en-US" w:eastAsia="zh-CN"/>
        </w:rPr>
        <w:t>1</w:t>
      </w:r>
      <w:r>
        <w:rPr>
          <w:rFonts w:hint="eastAsia"/>
          <w:color w:val="000000"/>
          <w:sz w:val="24"/>
          <w:lang w:eastAsia="zh-CN"/>
        </w:rPr>
        <w:t>）</w:t>
      </w:r>
      <w:r>
        <w:rPr>
          <w:rFonts w:hint="eastAsia"/>
          <w:color w:val="000000"/>
          <w:sz w:val="24"/>
          <w:lang w:val="en-US" w:eastAsia="zh-CN"/>
        </w:rPr>
        <w:t>电池 ：</w:t>
      </w:r>
      <w:r>
        <w:rPr>
          <w:rFonts w:hint="eastAsia"/>
          <w:color w:val="000000"/>
          <w:sz w:val="24"/>
        </w:rPr>
        <w:t>后备电池延时系统所配置的电池组容量，必须满足在用户的负载（如果用户负载增长，服务商需做相应的调整）下至少延时2个小时的延时时长，服务商初期需提供电池的数量不得少于116节，单节电池容量不低于12V 100AH。</w:t>
      </w:r>
    </w:p>
    <w:p w14:paraId="2C754192">
      <w:pPr>
        <w:pStyle w:val="2"/>
        <w:ind w:firstLine="480"/>
        <w:rPr>
          <w:rFonts w:hint="default"/>
          <w:color w:val="000000"/>
          <w:sz w:val="24"/>
          <w:lang w:val="en-US" w:eastAsia="zh-CN"/>
        </w:rPr>
      </w:pPr>
      <w:r>
        <w:rPr>
          <w:rFonts w:hint="eastAsia"/>
          <w:color w:val="000000"/>
          <w:sz w:val="24"/>
          <w:lang w:val="en-US" w:eastAsia="zh-CN"/>
        </w:rPr>
        <w:t>（2）电池柜：电池柜柜体采用一体式，四侧带通风孔板门，柜体配置二次检测线路，安装集成输出检测端口及电池总电压电压表，并配置一套电池智能管理系统，电池的活化及容量验收放电可通过电池柜预置的输出端口，实时采集（可设置采集周期不高于5秒一次）电池组的单节电压、总电压、充放电电流的数据并自动存储，自动生成对应的充放电曲线，自动生成检测报告。</w:t>
      </w:r>
    </w:p>
    <w:p w14:paraId="3AC38CD1">
      <w:pPr>
        <w:pStyle w:val="2"/>
        <w:ind w:firstLine="480"/>
        <w:rPr>
          <w:rFonts w:hint="eastAsia" w:ascii="宋体" w:hAnsi="宋体" w:eastAsia="宋体" w:cs="宋体"/>
          <w:sz w:val="24"/>
          <w:szCs w:val="24"/>
        </w:rPr>
      </w:pPr>
      <w:r>
        <w:rPr>
          <w:rFonts w:hint="eastAsia"/>
          <w:color w:val="000000"/>
          <w:sz w:val="24"/>
          <w:lang w:val="en-US" w:eastAsia="zh-CN"/>
        </w:rPr>
        <w:t>（3）电池温度监控：为保障电池的使用安全，防止因电池故障造成电池温度失控发热未能及时发现引起电池自燃的安全事故，每组电池柜体内安装至少一个温度检测探头，温度数据可通过手机APP实时查看，可设置告警阀值，当温度超过预设阀值时可通过电话话音及短信报警。</w:t>
      </w:r>
    </w:p>
    <w:p w14:paraId="3483A88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.电源系统配电</w:t>
      </w:r>
    </w:p>
    <w:p w14:paraId="6BE0A8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）信息中心机房总配，按照采购人提供输入电缆规格，进行最大化的配置，要求一次配置到位。</w:t>
      </w:r>
    </w:p>
    <w:p w14:paraId="19585B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）信息中心总配，需包括UPS输入输出配电，机房市电设备配电，末端配单电，要求C级防雷。</w:t>
      </w:r>
    </w:p>
    <w:p w14:paraId="047415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）末端配电，要求满足不低于80%的采购人设备使用机柜数量的机柜配电容量≥6KVA，不低于20%的采购人设备使用机柜数量的机柜配电容量≥10KVA，要求高密度机柜位置可进行任意配置。</w:t>
      </w:r>
    </w:p>
    <w:p w14:paraId="70EE24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末端PDU供电，要求每个机柜提供至少两个PDU供电单元（两个独立回路），每个PDU单元提供的插口数量需满足本机柜双电源设备的数量，PDU提供C13接口不得少于12位，C19接口不得少于3位，PDU单元采用工业防插座连接，；当后期因机柜负载增加初始建设安装的PDU供电单元所提供的电源插口数量不够时，用户通知服务商，服务商应及时无偿在不影响机柜内设备不间断运行下，增加PDU单元供电插口数。</w:t>
      </w:r>
    </w:p>
    <w:p w14:paraId="0A7E81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）末端PDU技术要求，供电机柜专用PDU可根据需要定制。</w:t>
      </w:r>
    </w:p>
    <w:p w14:paraId="39CF5485">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.干线电缆和支线电缆，采用钢制镀锌桥架下走线布线方式，桥架须作接地处理，绘制走线图并标明接地点处理方式。</w:t>
      </w:r>
    </w:p>
    <w:p w14:paraId="527FF680">
      <w:pPr>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kern w:val="44"/>
          <w:sz w:val="24"/>
          <w:szCs w:val="24"/>
          <w:lang w:val="en-US" w:eastAsia="zh-CN" w:bidi="ar-SA"/>
        </w:rPr>
        <w:t>五、制冷系统技术指标要求</w:t>
      </w:r>
      <w:bookmarkEnd w:id="12"/>
    </w:p>
    <w:p w14:paraId="1DF891E5">
      <w:pPr>
        <w:spacing w:line="360" w:lineRule="auto"/>
        <w:ind w:firstLine="240" w:firstLineChars="100"/>
        <w:rPr>
          <w:rFonts w:hint="eastAsia"/>
          <w:color w:val="000000"/>
          <w:sz w:val="24"/>
        </w:rPr>
      </w:pPr>
      <w:r>
        <w:rPr>
          <w:rFonts w:hint="eastAsia"/>
          <w:color w:val="000000"/>
          <w:sz w:val="24"/>
        </w:rPr>
        <w:t>（一）总院主机房：</w:t>
      </w:r>
    </w:p>
    <w:p w14:paraId="6567BB96">
      <w:pPr>
        <w:spacing w:line="360" w:lineRule="auto"/>
        <w:ind w:firstLine="480" w:firstLineChars="200"/>
        <w:rPr>
          <w:rFonts w:hint="default" w:eastAsia="宋体"/>
          <w:color w:val="000000"/>
          <w:sz w:val="24"/>
          <w:lang w:val="en-US" w:eastAsia="zh-CN"/>
        </w:rPr>
      </w:pPr>
      <w:r>
        <w:rPr>
          <w:rFonts w:hint="eastAsia"/>
          <w:color w:val="000000"/>
          <w:sz w:val="24"/>
        </w:rPr>
        <w:t>1..主机房制冷系统所需的精密空调要求实现基本冷量冗余，按照不低于设备基本冷量200%进行配置，精密空调主机按照1主1备进行冗余配置，主机制冷量不低于40KW，备机单机制冷量不低于40KW。</w:t>
      </w:r>
      <w:r>
        <w:rPr>
          <w:rFonts w:hint="eastAsia"/>
          <w:color w:val="000000"/>
          <w:sz w:val="24"/>
          <w:lang w:val="en-US" w:eastAsia="zh-CN"/>
        </w:rPr>
        <w:t>空调主机采用双压缩机双系统下送风型号。</w:t>
      </w:r>
    </w:p>
    <w:p w14:paraId="34060FF8">
      <w:pPr>
        <w:spacing w:line="360" w:lineRule="auto"/>
        <w:ind w:firstLine="480" w:firstLineChars="200"/>
        <w:rPr>
          <w:rFonts w:hint="eastAsia"/>
          <w:color w:val="000000"/>
          <w:sz w:val="24"/>
        </w:rPr>
      </w:pPr>
      <w:r>
        <w:rPr>
          <w:rFonts w:hint="eastAsia"/>
          <w:color w:val="000000"/>
          <w:sz w:val="24"/>
          <w:lang w:val="en-US" w:eastAsia="zh-CN"/>
        </w:rPr>
        <w:t>2</w:t>
      </w:r>
      <w:r>
        <w:rPr>
          <w:rFonts w:hint="eastAsia"/>
          <w:color w:val="000000"/>
          <w:sz w:val="24"/>
        </w:rPr>
        <w:t>.电源间制冷系统所需的精密空调要求实现基本冷量冗余，按照不低于设备基本冷量150%进行配置，主机制冷量不低于12.5KW。</w:t>
      </w:r>
    </w:p>
    <w:p w14:paraId="2EF4C135">
      <w:pPr>
        <w:spacing w:line="360" w:lineRule="auto"/>
        <w:ind w:firstLine="480" w:firstLineChars="200"/>
        <w:rPr>
          <w:rFonts w:hint="eastAsia"/>
          <w:color w:val="000000"/>
          <w:sz w:val="24"/>
        </w:rPr>
      </w:pPr>
      <w:r>
        <w:rPr>
          <w:rFonts w:hint="eastAsia"/>
          <w:color w:val="000000"/>
          <w:sz w:val="24"/>
          <w:lang w:val="en-US" w:eastAsia="zh-CN"/>
        </w:rPr>
        <w:t>3</w:t>
      </w:r>
      <w:r>
        <w:rPr>
          <w:rFonts w:hint="eastAsia"/>
          <w:color w:val="000000"/>
          <w:sz w:val="24"/>
        </w:rPr>
        <w:t>.主机房制冷模式：采用冷池（封闭冷通道）制冷系统，冷池机柜数量20个（含电源系统列头柜和配线柜），至少配置1个独立冷池组。冷池机柜须一次建设到位，不做扩容。</w:t>
      </w:r>
    </w:p>
    <w:p w14:paraId="0610F57B">
      <w:pPr>
        <w:spacing w:line="360" w:lineRule="auto"/>
        <w:ind w:firstLine="240" w:firstLineChars="100"/>
        <w:rPr>
          <w:rFonts w:hint="eastAsia"/>
          <w:color w:val="000000"/>
          <w:sz w:val="24"/>
        </w:rPr>
      </w:pPr>
      <w:bookmarkStart w:id="13" w:name="_Toc14680"/>
      <w:bookmarkStart w:id="14" w:name="_Toc8829"/>
      <w:r>
        <w:rPr>
          <w:rFonts w:hint="eastAsia"/>
          <w:color w:val="000000"/>
          <w:sz w:val="24"/>
        </w:rPr>
        <w:t>（二）分院备机房：</w:t>
      </w:r>
      <w:bookmarkEnd w:id="13"/>
      <w:bookmarkEnd w:id="14"/>
    </w:p>
    <w:p w14:paraId="233DBEFA">
      <w:pPr>
        <w:spacing w:line="360" w:lineRule="auto"/>
        <w:ind w:firstLine="480" w:firstLineChars="200"/>
        <w:rPr>
          <w:rFonts w:hint="eastAsia"/>
          <w:color w:val="000000"/>
          <w:sz w:val="24"/>
        </w:rPr>
      </w:pPr>
      <w:r>
        <w:rPr>
          <w:rFonts w:hint="eastAsia"/>
          <w:color w:val="000000"/>
          <w:sz w:val="24"/>
        </w:rPr>
        <w:t>备机房制冷系统所需的精密空调要求实现基本冷量冗余，按照不低于设备基本冷量150%进行配置，精密空调主机按照1主1备进行冗余配置，空调制冷量不低于12.5KW</w:t>
      </w:r>
      <w:r>
        <w:rPr>
          <w:rFonts w:hint="eastAsia"/>
          <w:color w:val="000000"/>
          <w:sz w:val="24"/>
          <w:lang w:eastAsia="zh-CN"/>
        </w:rPr>
        <w:t>，</w:t>
      </w:r>
      <w:r>
        <w:rPr>
          <w:rFonts w:hint="eastAsia"/>
          <w:color w:val="000000"/>
          <w:sz w:val="24"/>
          <w:lang w:val="en-US" w:eastAsia="zh-CN"/>
        </w:rPr>
        <w:t>主用空调必需配置为机房专用精密空调</w:t>
      </w:r>
      <w:r>
        <w:rPr>
          <w:rFonts w:hint="eastAsia"/>
          <w:color w:val="000000"/>
          <w:sz w:val="24"/>
        </w:rPr>
        <w:t>。</w:t>
      </w:r>
    </w:p>
    <w:p w14:paraId="74292A46">
      <w:pPr>
        <w:pStyle w:val="3"/>
        <w:spacing w:before="0" w:after="0" w:line="360" w:lineRule="auto"/>
        <w:ind w:firstLine="241" w:firstLineChars="100"/>
        <w:jc w:val="left"/>
        <w:rPr>
          <w:rFonts w:hint="eastAsia" w:ascii="宋体" w:hAnsi="宋体" w:eastAsia="宋体" w:cs="宋体"/>
          <w:sz w:val="24"/>
          <w:szCs w:val="24"/>
        </w:rPr>
      </w:pPr>
      <w:bookmarkStart w:id="15" w:name="_Toc24422"/>
      <w:r>
        <w:rPr>
          <w:rFonts w:hint="eastAsia" w:ascii="宋体" w:hAnsi="宋体" w:eastAsia="宋体" w:cs="宋体"/>
          <w:sz w:val="24"/>
          <w:szCs w:val="24"/>
        </w:rPr>
        <w:t>六、环境监控系统</w:t>
      </w:r>
      <w:bookmarkEnd w:id="15"/>
    </w:p>
    <w:p w14:paraId="06C54475">
      <w:pPr>
        <w:spacing w:line="360" w:lineRule="auto"/>
        <w:ind w:firstLine="240" w:firstLineChars="100"/>
        <w:rPr>
          <w:rFonts w:hint="eastAsia"/>
          <w:color w:val="000000"/>
          <w:sz w:val="24"/>
        </w:rPr>
      </w:pPr>
      <w:r>
        <w:rPr>
          <w:rFonts w:hint="eastAsia"/>
          <w:color w:val="000000"/>
          <w:sz w:val="24"/>
        </w:rPr>
        <w:t>（一）总院主机房</w:t>
      </w:r>
    </w:p>
    <w:p w14:paraId="5B505978">
      <w:pPr>
        <w:spacing w:line="360" w:lineRule="auto"/>
        <w:ind w:firstLine="240" w:firstLineChars="100"/>
        <w:rPr>
          <w:rFonts w:hint="eastAsia"/>
          <w:color w:val="000000"/>
          <w:sz w:val="24"/>
        </w:rPr>
      </w:pPr>
      <w:r>
        <w:rPr>
          <w:rFonts w:hint="eastAsia"/>
          <w:color w:val="000000"/>
          <w:sz w:val="24"/>
        </w:rPr>
        <w:t>1.门禁系统：安装4套门禁系统，要求功能为：指纹、密码、刷卡。门禁需可接入动环监控系统。</w:t>
      </w:r>
    </w:p>
    <w:p w14:paraId="401EEA75">
      <w:pPr>
        <w:spacing w:line="360" w:lineRule="auto"/>
        <w:ind w:firstLine="240" w:firstLineChars="100"/>
        <w:rPr>
          <w:rFonts w:hint="eastAsia"/>
          <w:color w:val="000000"/>
          <w:sz w:val="24"/>
        </w:rPr>
      </w:pPr>
      <w:r>
        <w:rPr>
          <w:rFonts w:hint="eastAsia"/>
          <w:color w:val="000000"/>
          <w:sz w:val="24"/>
        </w:rPr>
        <w:t>2.视频监控系统：根据实际现场需求配置摄像头，要求：像素不低于两百万、带红外功能，实现机房监控无死角，录像存储时间不低于6个月。视频监控系统需可接入动环监控系统。</w:t>
      </w:r>
    </w:p>
    <w:p w14:paraId="5745D71E">
      <w:pPr>
        <w:spacing w:line="360" w:lineRule="auto"/>
        <w:ind w:firstLine="240" w:firstLineChars="100"/>
        <w:rPr>
          <w:rFonts w:hint="eastAsia"/>
          <w:color w:val="000000"/>
          <w:sz w:val="24"/>
        </w:rPr>
      </w:pPr>
      <w:r>
        <w:rPr>
          <w:rFonts w:hint="eastAsia"/>
          <w:color w:val="000000"/>
          <w:sz w:val="24"/>
        </w:rPr>
        <w:t>3.安装一套动环境集中监控系统能够实现对机房的配电系统、UPS供电系统、精密空调系统、消防等动力设备、对机房温湿度、水浸、红外等环境状态、进行实时的监测，记录和分析相关监控数据，实现后台的集中监控管理，通过远程电话语音报警、短信报警邮件报警等灵活的告警方式实现远程异地监控，实现机房安全无人职守。</w:t>
      </w:r>
    </w:p>
    <w:p w14:paraId="228C56D9">
      <w:pPr>
        <w:spacing w:line="360" w:lineRule="auto"/>
        <w:ind w:firstLine="240" w:firstLineChars="100"/>
        <w:rPr>
          <w:rFonts w:hint="eastAsia"/>
          <w:color w:val="000000"/>
          <w:sz w:val="24"/>
        </w:rPr>
      </w:pPr>
      <w:bookmarkStart w:id="16" w:name="_Toc1287"/>
      <w:bookmarkStart w:id="17" w:name="_Toc29087"/>
      <w:r>
        <w:rPr>
          <w:rFonts w:hint="eastAsia"/>
          <w:color w:val="000000"/>
          <w:sz w:val="24"/>
        </w:rPr>
        <w:t>（二）分院备机房</w:t>
      </w:r>
      <w:bookmarkEnd w:id="16"/>
      <w:bookmarkEnd w:id="17"/>
    </w:p>
    <w:p w14:paraId="534CD01F">
      <w:pPr>
        <w:spacing w:line="360" w:lineRule="auto"/>
        <w:ind w:firstLine="240" w:firstLineChars="100"/>
        <w:rPr>
          <w:rFonts w:hint="eastAsia"/>
          <w:color w:val="000000"/>
          <w:sz w:val="24"/>
        </w:rPr>
      </w:pPr>
      <w:r>
        <w:rPr>
          <w:rFonts w:hint="eastAsia"/>
          <w:color w:val="000000"/>
          <w:sz w:val="24"/>
        </w:rPr>
        <w:t>1.门禁系统：安装2套门禁系统，要求功能为：指纹、密码、刷卡。门禁需可接入动环监控系统。</w:t>
      </w:r>
    </w:p>
    <w:p w14:paraId="78577223">
      <w:pPr>
        <w:spacing w:line="360" w:lineRule="auto"/>
        <w:ind w:firstLine="240" w:firstLineChars="100"/>
        <w:rPr>
          <w:rFonts w:hint="eastAsia"/>
          <w:color w:val="000000"/>
          <w:sz w:val="24"/>
        </w:rPr>
      </w:pPr>
      <w:r>
        <w:rPr>
          <w:rFonts w:hint="eastAsia"/>
          <w:color w:val="000000"/>
          <w:sz w:val="24"/>
        </w:rPr>
        <w:t>2.视频监控系统：根据实际现场需求配置摄像头，要求：像素不低于两百万、带红外功能，实现机房监控无死角，录像存储时间不低于6个月。视频监控系统需可接入动环监控系统。</w:t>
      </w:r>
    </w:p>
    <w:p w14:paraId="431E3792">
      <w:pPr>
        <w:spacing w:line="360" w:lineRule="auto"/>
        <w:ind w:firstLine="240" w:firstLineChars="100"/>
        <w:rPr>
          <w:rFonts w:hint="eastAsia"/>
          <w:color w:val="000000"/>
          <w:sz w:val="24"/>
        </w:rPr>
      </w:pPr>
      <w:r>
        <w:rPr>
          <w:rFonts w:hint="eastAsia"/>
          <w:color w:val="000000"/>
          <w:sz w:val="24"/>
        </w:rPr>
        <w:t>3.安装一套动环境集中监控系统能够实现对机房的配电系统、UPS供电系统、精密空调系统、消防等动力设备、对机房温湿度、水浸、红外等环境状态、进行实时的监测，记录和分析相关监控数据，实现后台的集中监控管理，通过远程电话语音报警、短信报警邮件报警等灵活的告警方式实现远程异地监控，实现机房安全无人职守。要求分院备机房的动环监控系统可并入总院主机房的动环监控系统，且可实现动环监控系统、视频监控系统及门禁系统在同一监控平台控制管理。</w:t>
      </w:r>
    </w:p>
    <w:p w14:paraId="58006B07">
      <w:pPr>
        <w:pStyle w:val="3"/>
        <w:spacing w:before="0" w:after="0" w:line="360" w:lineRule="auto"/>
        <w:ind w:firstLine="241" w:firstLineChars="100"/>
        <w:jc w:val="left"/>
        <w:rPr>
          <w:rFonts w:hint="eastAsia" w:ascii="宋体" w:hAnsi="宋体" w:eastAsia="宋体" w:cs="宋体"/>
          <w:sz w:val="24"/>
          <w:szCs w:val="24"/>
        </w:rPr>
      </w:pPr>
      <w:bookmarkStart w:id="18" w:name="_Toc483630064"/>
      <w:bookmarkStart w:id="19" w:name="_Toc22093"/>
      <w:bookmarkStart w:id="20" w:name="_Toc58237774"/>
      <w:bookmarkStart w:id="21" w:name="_Toc323567727"/>
      <w:bookmarkStart w:id="22" w:name="_Toc5542"/>
      <w:bookmarkStart w:id="23" w:name="_Toc27082"/>
      <w:r>
        <w:rPr>
          <w:rFonts w:hint="eastAsia" w:ascii="宋体" w:hAnsi="宋体" w:eastAsia="宋体" w:cs="宋体"/>
          <w:sz w:val="24"/>
          <w:szCs w:val="24"/>
        </w:rPr>
        <w:t>七、项目主要服务指标要求</w:t>
      </w:r>
      <w:bookmarkEnd w:id="18"/>
      <w:bookmarkEnd w:id="19"/>
      <w:bookmarkEnd w:id="20"/>
      <w:bookmarkEnd w:id="21"/>
      <w:bookmarkEnd w:id="22"/>
      <w:bookmarkEnd w:id="23"/>
    </w:p>
    <w:p w14:paraId="35AC16EB">
      <w:pPr>
        <w:spacing w:line="360" w:lineRule="auto"/>
        <w:ind w:firstLine="240" w:firstLineChars="100"/>
        <w:rPr>
          <w:rFonts w:hint="eastAsia"/>
          <w:color w:val="000000"/>
          <w:sz w:val="24"/>
        </w:rPr>
      </w:pPr>
      <w:bookmarkStart w:id="24" w:name="_Toc24892"/>
      <w:bookmarkStart w:id="25" w:name="_Toc1757"/>
      <w:r>
        <w:rPr>
          <w:rFonts w:hint="eastAsia"/>
          <w:color w:val="000000"/>
          <w:sz w:val="24"/>
        </w:rPr>
        <w:t>（一）整体服务指标要求</w:t>
      </w:r>
      <w:bookmarkEnd w:id="24"/>
      <w:bookmarkEnd w:id="25"/>
    </w:p>
    <w:p w14:paraId="4CE7F373">
      <w:pPr>
        <w:spacing w:line="360" w:lineRule="auto"/>
        <w:ind w:firstLine="240" w:firstLineChars="100"/>
        <w:rPr>
          <w:rFonts w:hint="eastAsia"/>
          <w:color w:val="000000"/>
          <w:sz w:val="24"/>
        </w:rPr>
      </w:pPr>
      <w:r>
        <w:rPr>
          <w:rFonts w:hint="eastAsia"/>
          <w:color w:val="000000"/>
          <w:sz w:val="24"/>
        </w:rPr>
        <w:t>1.服务商需建立24小时值守出警机制，遇用户重大活动、极端自然灾害天气等情况应可应用户要求驻场保障，次数不限。</w:t>
      </w:r>
    </w:p>
    <w:p w14:paraId="5A9E60E2">
      <w:pPr>
        <w:spacing w:line="360" w:lineRule="auto"/>
        <w:ind w:firstLine="240" w:firstLineChars="100"/>
        <w:rPr>
          <w:rFonts w:hint="eastAsia"/>
          <w:color w:val="000000"/>
          <w:sz w:val="24"/>
        </w:rPr>
      </w:pPr>
      <w:r>
        <w:rPr>
          <w:rFonts w:hint="eastAsia"/>
          <w:color w:val="000000"/>
          <w:sz w:val="24"/>
        </w:rPr>
        <w:t>2.服务商需提供系统设备新增、迁移、调整中的临时配合。</w:t>
      </w:r>
    </w:p>
    <w:p w14:paraId="01D845B0">
      <w:pPr>
        <w:spacing w:line="360" w:lineRule="auto"/>
        <w:ind w:firstLine="240" w:firstLineChars="100"/>
        <w:rPr>
          <w:rFonts w:hint="eastAsia"/>
          <w:color w:val="000000"/>
          <w:sz w:val="24"/>
        </w:rPr>
      </w:pPr>
      <w:r>
        <w:rPr>
          <w:rFonts w:hint="eastAsia"/>
          <w:color w:val="000000"/>
          <w:sz w:val="24"/>
        </w:rPr>
        <w:t>3.服务商制定整体运维方案，包含对电源系统、制冷系统、环境监控系统的运维方案。维护项目包含：月巡检、季度维护、加载扩容、紧急故障处理，要求维护方案包含各分项流程图及配套表格。</w:t>
      </w:r>
    </w:p>
    <w:p w14:paraId="6144CCE0">
      <w:pPr>
        <w:spacing w:line="360" w:lineRule="auto"/>
        <w:ind w:firstLine="240" w:firstLineChars="100"/>
        <w:rPr>
          <w:rFonts w:hint="eastAsia"/>
          <w:color w:val="000000"/>
          <w:sz w:val="24"/>
        </w:rPr>
      </w:pPr>
      <w:r>
        <w:rPr>
          <w:rFonts w:hint="eastAsia"/>
          <w:color w:val="000000"/>
          <w:sz w:val="24"/>
        </w:rPr>
        <w:t>4.服务商需建立定期巡检机制，巡检次数为每月至少一次。巡检完成后将电子档巡检报告通过电子邮件发送用户，纸质版巡检报告现场提交用户签字。</w:t>
      </w:r>
    </w:p>
    <w:p w14:paraId="2052BBF9">
      <w:pPr>
        <w:spacing w:line="360" w:lineRule="auto"/>
        <w:ind w:firstLine="240" w:firstLineChars="100"/>
        <w:rPr>
          <w:rFonts w:hint="eastAsia"/>
          <w:color w:val="000000"/>
          <w:sz w:val="24"/>
        </w:rPr>
      </w:pPr>
      <w:r>
        <w:rPr>
          <w:rFonts w:hint="eastAsia"/>
          <w:color w:val="000000"/>
          <w:sz w:val="24"/>
        </w:rPr>
        <w:t>5.制定机房各系统突发故障情况下的应急预案，并确定应急小组工程师通讯录。</w:t>
      </w:r>
    </w:p>
    <w:p w14:paraId="61EC1DDE">
      <w:pPr>
        <w:spacing w:line="360" w:lineRule="auto"/>
        <w:ind w:firstLine="240" w:firstLineChars="100"/>
        <w:rPr>
          <w:rFonts w:hint="eastAsia"/>
          <w:color w:val="000000"/>
          <w:sz w:val="24"/>
        </w:rPr>
      </w:pPr>
      <w:r>
        <w:rPr>
          <w:rFonts w:hint="eastAsia"/>
          <w:color w:val="000000"/>
          <w:sz w:val="24"/>
        </w:rPr>
        <w:t>6.每季度进行一次季度维护，需提供以下服务报告及表单：</w:t>
      </w:r>
    </w:p>
    <w:p w14:paraId="6E94DC1C">
      <w:pPr>
        <w:spacing w:line="360" w:lineRule="auto"/>
        <w:ind w:firstLine="240" w:firstLineChars="100"/>
        <w:rPr>
          <w:rFonts w:hint="eastAsia"/>
          <w:color w:val="000000"/>
          <w:sz w:val="24"/>
        </w:rPr>
      </w:pPr>
      <w:r>
        <w:rPr>
          <w:rFonts w:hint="eastAsia"/>
          <w:color w:val="000000"/>
          <w:sz w:val="24"/>
        </w:rPr>
        <w:t>（1）电源系统：电源质量报告、负载三相平衡分析报告、设备运行状态报告、系统的资源容量分析报告。</w:t>
      </w:r>
    </w:p>
    <w:p w14:paraId="349D78D2">
      <w:pPr>
        <w:spacing w:line="360" w:lineRule="auto"/>
        <w:ind w:firstLine="240" w:firstLineChars="100"/>
        <w:rPr>
          <w:rFonts w:hint="eastAsia"/>
          <w:color w:val="000000"/>
          <w:sz w:val="24"/>
        </w:rPr>
      </w:pPr>
      <w:r>
        <w:rPr>
          <w:rFonts w:hint="eastAsia"/>
          <w:color w:val="000000"/>
          <w:sz w:val="24"/>
        </w:rPr>
        <w:t>（2）制冷系统：设备性能分析报告、制冷量分析报告、区域热量分布报告。</w:t>
      </w:r>
    </w:p>
    <w:p w14:paraId="2ABD87F3">
      <w:pPr>
        <w:spacing w:line="360" w:lineRule="auto"/>
        <w:ind w:firstLine="240" w:firstLineChars="100"/>
        <w:rPr>
          <w:rFonts w:hint="eastAsia"/>
          <w:color w:val="000000"/>
          <w:sz w:val="24"/>
        </w:rPr>
      </w:pPr>
      <w:r>
        <w:rPr>
          <w:rFonts w:hint="eastAsia"/>
          <w:color w:val="000000"/>
          <w:sz w:val="24"/>
        </w:rPr>
        <w:t>（3）环境监控系统：监控功能测试报告。</w:t>
      </w:r>
    </w:p>
    <w:p w14:paraId="27A08732">
      <w:pPr>
        <w:spacing w:line="360" w:lineRule="auto"/>
        <w:ind w:firstLine="240" w:firstLineChars="100"/>
        <w:rPr>
          <w:rFonts w:hint="eastAsia" w:eastAsia="宋体"/>
          <w:color w:val="000000"/>
          <w:sz w:val="24"/>
          <w:lang w:eastAsia="zh-CN"/>
        </w:rPr>
      </w:pPr>
      <w:r>
        <w:rPr>
          <w:rFonts w:hint="eastAsia"/>
          <w:color w:val="000000"/>
          <w:sz w:val="24"/>
        </w:rPr>
        <w:t>7.服务商应对用户的设备建立维修维护技术档案。每次维修维护工作结束时，工程师详细填写维护维修报告并由用户填写意见和签字确认</w:t>
      </w:r>
      <w:r>
        <w:rPr>
          <w:rFonts w:hint="eastAsia"/>
          <w:color w:val="000000"/>
          <w:sz w:val="24"/>
          <w:lang w:eastAsia="zh-CN"/>
        </w:rPr>
        <w:t>。</w:t>
      </w:r>
    </w:p>
    <w:p w14:paraId="06214A9F">
      <w:pPr>
        <w:spacing w:line="360" w:lineRule="auto"/>
        <w:ind w:firstLine="240" w:firstLineChars="100"/>
        <w:rPr>
          <w:rFonts w:hint="eastAsia"/>
          <w:color w:val="000000"/>
          <w:sz w:val="24"/>
        </w:rPr>
      </w:pPr>
      <w:bookmarkStart w:id="26" w:name="_Toc22869"/>
      <w:bookmarkStart w:id="27" w:name="_Toc9281"/>
      <w:r>
        <w:rPr>
          <w:rFonts w:hint="eastAsia"/>
          <w:color w:val="000000"/>
          <w:sz w:val="24"/>
        </w:rPr>
        <w:t>（二）电源系统服务指标要求</w:t>
      </w:r>
      <w:bookmarkEnd w:id="26"/>
      <w:bookmarkEnd w:id="27"/>
    </w:p>
    <w:p w14:paraId="0B11C073">
      <w:pPr>
        <w:spacing w:line="360" w:lineRule="auto"/>
        <w:ind w:firstLine="480" w:firstLineChars="200"/>
        <w:rPr>
          <w:rFonts w:hint="eastAsia"/>
          <w:color w:val="000000"/>
          <w:sz w:val="24"/>
        </w:rPr>
      </w:pPr>
      <w:r>
        <w:rPr>
          <w:rFonts w:hint="eastAsia"/>
          <w:color w:val="000000"/>
          <w:sz w:val="24"/>
          <w:lang w:eastAsia="zh-CN"/>
        </w:rPr>
        <w:t>服务商</w:t>
      </w:r>
      <w:r>
        <w:rPr>
          <w:rFonts w:hint="eastAsia"/>
          <w:color w:val="000000"/>
          <w:sz w:val="24"/>
        </w:rPr>
        <w:t>需制定整体电源运维方案，在方案论述中要求对各子系统制定详细的运维方案，并对电源子系统的供配电、UPS、电池 、末端支路及PDU的方案分别进行阐述。运维方案需提供运维服务项目巡检、维护（季、半年、年）、加载扩容、紧急故障处理等各分项方案。维护内容包括但不限于以下内容：</w:t>
      </w:r>
    </w:p>
    <w:p w14:paraId="54D58D8A">
      <w:pPr>
        <w:spacing w:line="360" w:lineRule="auto"/>
        <w:ind w:firstLine="240" w:firstLineChars="100"/>
        <w:rPr>
          <w:rFonts w:hint="eastAsia"/>
          <w:color w:val="000000"/>
          <w:sz w:val="24"/>
        </w:rPr>
      </w:pPr>
      <w:r>
        <w:rPr>
          <w:rFonts w:hint="eastAsia"/>
          <w:color w:val="000000"/>
          <w:sz w:val="24"/>
        </w:rPr>
        <w:t>1.制定电源系统巡检流程图及巡检表单。</w:t>
      </w:r>
    </w:p>
    <w:p w14:paraId="18E36FF2">
      <w:pPr>
        <w:spacing w:line="360" w:lineRule="auto"/>
        <w:ind w:firstLine="240" w:firstLineChars="100"/>
        <w:rPr>
          <w:rFonts w:hint="eastAsia"/>
          <w:color w:val="000000"/>
          <w:sz w:val="24"/>
        </w:rPr>
      </w:pPr>
      <w:r>
        <w:rPr>
          <w:rFonts w:hint="eastAsia"/>
          <w:color w:val="000000"/>
          <w:sz w:val="24"/>
        </w:rPr>
        <w:t>2.巡检表单中</w:t>
      </w:r>
      <w:r>
        <w:rPr>
          <w:rFonts w:hint="eastAsia"/>
          <w:color w:val="000000"/>
          <w:sz w:val="24"/>
          <w:lang w:eastAsia="zh-CN"/>
        </w:rPr>
        <w:t>服务商</w:t>
      </w:r>
      <w:r>
        <w:rPr>
          <w:rFonts w:hint="eastAsia"/>
          <w:color w:val="000000"/>
          <w:sz w:val="24"/>
        </w:rPr>
        <w:t>需提供采用何种手段及方法提前发现问题。实时了解电源子系统中供配电（配电开关、配电线缆）、UPS 、末端支路及PDU冗余容量，做到防患于未然。要求实现的方法在巡检表单中体现。</w:t>
      </w:r>
    </w:p>
    <w:p w14:paraId="10BEADD1">
      <w:pPr>
        <w:spacing w:line="360" w:lineRule="auto"/>
        <w:ind w:firstLine="240" w:firstLineChars="100"/>
        <w:rPr>
          <w:rFonts w:hint="eastAsia"/>
          <w:color w:val="000000"/>
          <w:sz w:val="24"/>
        </w:rPr>
      </w:pPr>
      <w:r>
        <w:rPr>
          <w:rFonts w:hint="eastAsia"/>
          <w:color w:val="000000"/>
          <w:sz w:val="24"/>
          <w:lang w:val="en-US" w:eastAsia="zh-CN"/>
        </w:rPr>
        <w:t>3</w:t>
      </w:r>
      <w:r>
        <w:rPr>
          <w:rFonts w:hint="eastAsia"/>
          <w:color w:val="000000"/>
          <w:sz w:val="24"/>
        </w:rPr>
        <w:t>.制订供电各类突发故障情况下的应急预案。</w:t>
      </w:r>
    </w:p>
    <w:p w14:paraId="101EF7AE">
      <w:pPr>
        <w:spacing w:line="360" w:lineRule="auto"/>
        <w:ind w:firstLine="240" w:firstLineChars="100"/>
        <w:rPr>
          <w:rFonts w:hint="eastAsia"/>
          <w:color w:val="000000"/>
          <w:sz w:val="24"/>
        </w:rPr>
      </w:pPr>
      <w:r>
        <w:rPr>
          <w:rFonts w:hint="eastAsia"/>
          <w:color w:val="000000"/>
          <w:sz w:val="24"/>
          <w:lang w:val="en-US" w:eastAsia="zh-CN"/>
        </w:rPr>
        <w:t>4</w:t>
      </w:r>
      <w:r>
        <w:rPr>
          <w:rFonts w:hint="eastAsia"/>
          <w:color w:val="000000"/>
          <w:sz w:val="24"/>
        </w:rPr>
        <w:t>.每季度对后备电池进行一次活化放电，检测电池性能，并提供电池容量分析报告、电池放电曲线。每年度对后备电池进行一次容量验证性，检测电池性能，并提供电池容量验证报告、电池放电曲线。</w:t>
      </w:r>
    </w:p>
    <w:p w14:paraId="5D3DDC79">
      <w:pPr>
        <w:spacing w:line="360" w:lineRule="auto"/>
        <w:ind w:firstLine="240" w:firstLineChars="100"/>
        <w:rPr>
          <w:rFonts w:hint="eastAsia"/>
          <w:color w:val="000000"/>
          <w:sz w:val="24"/>
        </w:rPr>
      </w:pPr>
      <w:r>
        <w:rPr>
          <w:rFonts w:hint="eastAsia"/>
          <w:color w:val="000000"/>
          <w:sz w:val="24"/>
          <w:lang w:val="en-US" w:eastAsia="zh-CN"/>
        </w:rPr>
        <w:t>5</w:t>
      </w:r>
      <w:r>
        <w:rPr>
          <w:rFonts w:hint="eastAsia"/>
          <w:color w:val="000000"/>
          <w:sz w:val="24"/>
        </w:rPr>
        <w:t>.</w:t>
      </w:r>
      <w:r>
        <w:rPr>
          <w:rFonts w:hint="eastAsia"/>
          <w:color w:val="000000"/>
          <w:sz w:val="24"/>
          <w:lang w:eastAsia="zh-CN"/>
        </w:rPr>
        <w:t>服务商</w:t>
      </w:r>
      <w:r>
        <w:rPr>
          <w:rFonts w:hint="eastAsia"/>
          <w:color w:val="000000"/>
          <w:sz w:val="24"/>
        </w:rPr>
        <w:t>需考虑采购人机房的重要性，需提供除现场电池容量放电测试以外的电池容量验证方案，方案包含验证方法、作业流程及配套表单。</w:t>
      </w:r>
    </w:p>
    <w:p w14:paraId="7F80FB94">
      <w:pPr>
        <w:spacing w:line="360" w:lineRule="auto"/>
        <w:ind w:firstLine="240" w:firstLineChars="100"/>
        <w:rPr>
          <w:rFonts w:hint="eastAsia"/>
          <w:color w:val="000000"/>
          <w:sz w:val="24"/>
        </w:rPr>
      </w:pPr>
      <w:r>
        <w:rPr>
          <w:rFonts w:hint="eastAsia"/>
          <w:color w:val="000000"/>
          <w:sz w:val="24"/>
          <w:lang w:val="en-US" w:eastAsia="zh-CN"/>
        </w:rPr>
        <w:t>6</w:t>
      </w:r>
      <w:r>
        <w:rPr>
          <w:rFonts w:hint="eastAsia"/>
          <w:color w:val="000000"/>
          <w:sz w:val="24"/>
        </w:rPr>
        <w:t>.</w:t>
      </w:r>
      <w:r>
        <w:rPr>
          <w:rFonts w:hint="eastAsia"/>
          <w:color w:val="000000"/>
          <w:sz w:val="24"/>
          <w:lang w:eastAsia="zh-CN"/>
        </w:rPr>
        <w:t>服务商</w:t>
      </w:r>
      <w:r>
        <w:rPr>
          <w:rFonts w:hint="eastAsia"/>
          <w:color w:val="000000"/>
          <w:sz w:val="24"/>
        </w:rPr>
        <w:t>针对如何预防电池自燃引起火灾事故，制定解决方案及技术手段。</w:t>
      </w:r>
    </w:p>
    <w:p w14:paraId="09E7D159">
      <w:pPr>
        <w:spacing w:line="360" w:lineRule="auto"/>
        <w:ind w:firstLine="240" w:firstLineChars="100"/>
        <w:rPr>
          <w:rFonts w:hint="eastAsia"/>
          <w:color w:val="000000"/>
          <w:sz w:val="24"/>
        </w:rPr>
      </w:pPr>
      <w:r>
        <w:rPr>
          <w:rFonts w:hint="eastAsia"/>
          <w:color w:val="000000"/>
          <w:sz w:val="24"/>
          <w:lang w:val="en-US" w:eastAsia="zh-CN"/>
        </w:rPr>
        <w:t>7</w:t>
      </w:r>
      <w:r>
        <w:rPr>
          <w:rFonts w:hint="eastAsia"/>
          <w:color w:val="000000"/>
          <w:sz w:val="24"/>
        </w:rPr>
        <w:t>.</w:t>
      </w:r>
      <w:r>
        <w:rPr>
          <w:rFonts w:hint="eastAsia"/>
          <w:color w:val="000000"/>
          <w:sz w:val="24"/>
          <w:lang w:eastAsia="zh-CN"/>
        </w:rPr>
        <w:t>服务商</w:t>
      </w:r>
      <w:r>
        <w:rPr>
          <w:rFonts w:hint="eastAsia"/>
          <w:color w:val="000000"/>
          <w:sz w:val="24"/>
        </w:rPr>
        <w:t>应用户现场进行日常检测及电池维护需要提供必要的检测设备，保证电池数据采集的同时性和快速性，并能预设报警阀值，电池异常及时告警，确保维护进程供电的安全。</w:t>
      </w:r>
    </w:p>
    <w:p w14:paraId="5F001EA5">
      <w:pPr>
        <w:spacing w:line="360" w:lineRule="auto"/>
        <w:ind w:firstLine="240" w:firstLineChars="100"/>
        <w:rPr>
          <w:rFonts w:hint="eastAsia"/>
          <w:color w:val="000000"/>
          <w:sz w:val="24"/>
          <w:szCs w:val="24"/>
        </w:rPr>
      </w:pPr>
      <w:r>
        <w:rPr>
          <w:rFonts w:hint="eastAsia"/>
          <w:color w:val="000000"/>
          <w:sz w:val="24"/>
          <w:szCs w:val="24"/>
          <w:lang w:val="en-US" w:eastAsia="zh-CN"/>
        </w:rPr>
        <w:t>8</w:t>
      </w:r>
      <w:r>
        <w:rPr>
          <w:rFonts w:hint="eastAsia"/>
          <w:color w:val="000000"/>
          <w:sz w:val="24"/>
          <w:szCs w:val="24"/>
        </w:rPr>
        <w:t>.电池维护</w:t>
      </w:r>
    </w:p>
    <w:p w14:paraId="00107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电池是UPS电源系统的重要组成部分，电池的维护质量影响整个UPS电源系统的供电可靠性，UPS电源系统发生的重大事故，通常是由于没有实时掌握电池当前的性能状态，电池容量衰减及失效未能及时发现，导致市电中断后电池组延时不足或不能延时造成UPS电源系统宕机引起，因此对电池的性能及剩余容量的实时掌握极为重要，要求电池的维护需要做到细致、全面、有效、准确。</w:t>
      </w:r>
    </w:p>
    <w:p w14:paraId="6ADFEC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电池的维护包含电池的活化放电、容量验证性放电，通过放电全面采集整组及单节的测试数据，通过数据进行电池健康度分析并生成检测报告，及时处理容量不足及故障电池，保障后备延时的可靠。</w:t>
      </w:r>
    </w:p>
    <w:p w14:paraId="213EA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数据采集：</w:t>
      </w:r>
    </w:p>
    <w:p w14:paraId="6264B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整组电池：活化及容量验证放电可以按设定采集周期（不高于5秒）采集整组电池的充放电电压数据，并实时绘制充放电曲线，并可以与历史的充放电曲线进行性能变化核对。</w:t>
      </w:r>
    </w:p>
    <w:p w14:paraId="0F84D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单节电池：活化及容量验证放电可以按设定采集周期（不高于5秒）同时采集单节电池的充放电电压数据，并实时绘制单节电池的充放电曲线，并可以与历史的单节充放电曲线进行性能变化核对。</w:t>
      </w:r>
    </w:p>
    <w:p w14:paraId="1D99B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电池健康度分析：</w:t>
      </w:r>
    </w:p>
    <w:p w14:paraId="1C8A7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通过活化及容量验证放电采集的数据，自动计算整组及单节电池的剩余容量，从而对电池的健康度实时掌握。</w:t>
      </w:r>
    </w:p>
    <w:p w14:paraId="543BA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报告生成：</w:t>
      </w:r>
    </w:p>
    <w:p w14:paraId="0BE5D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每一次活化及容量验证放电后能自动生成放电检测报告，报告包含能自动计算电池组的后备延时时长是否满足当前负载的设计延时时长要求、维护的内容、维护的情况、整组及单节的检测数据及相应曲线、结论及建议，并根据电池的健康度情况（整组电池容量不足、单节电池容量不足或故障）自动生成故障待处理任务。</w:t>
      </w:r>
    </w:p>
    <w:p w14:paraId="5AE42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任务跟踪：</w:t>
      </w:r>
    </w:p>
    <w:p w14:paraId="60457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用户可通过网络用自己的专属账号，随时查看近期的已完成及待维护任务、已处理及待处理的告警内容。</w:t>
      </w:r>
    </w:p>
    <w:p w14:paraId="52BE0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黑体" w:eastAsia="黑体" w:cs="黑体"/>
          <w:sz w:val="24"/>
          <w:szCs w:val="24"/>
        </w:rPr>
      </w:pPr>
      <w:r>
        <w:rPr>
          <w:rFonts w:hint="eastAsia" w:ascii="黑体" w:hAnsi="黑体" w:eastAsia="黑体" w:cs="黑体"/>
          <w:sz w:val="24"/>
          <w:szCs w:val="24"/>
        </w:rPr>
        <w:t>工作状况检查：</w:t>
      </w:r>
    </w:p>
    <w:p w14:paraId="4983F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用户可通过网络用自己的专属账号，随时查看历史及当前的电池的维护检测记录和检测报告，检测报告包含整组电池的充放电曲线及剩余容量，单节电池的充放电曲线及单节电池的剩余容量。</w:t>
      </w:r>
    </w:p>
    <w:p w14:paraId="1FC63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用户可通过网络用自己的专属账号，随时查看UPS电源系统的设备信息、系统架构、负载。</w:t>
      </w:r>
    </w:p>
    <w:p w14:paraId="341C04C9">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 xml:space="preserve">.每年至少1次对所有UPS系统进行一次模拟故障测试，提交完整的测试报告，如果发现设备或电池性能不满足使用需求，必须于24小时内完成更换、测试工作，恢复系统正常工作，提交详细设备或电池更换、检测记录文件。 </w:t>
      </w:r>
    </w:p>
    <w:p w14:paraId="59FC9CC9">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.在设备出现故障或采购人通知后在1小时内到达现场实施保障。</w:t>
      </w:r>
    </w:p>
    <w:p w14:paraId="1EC0C76B">
      <w:pPr>
        <w:spacing w:line="360" w:lineRule="auto"/>
        <w:ind w:firstLine="480" w:firstLineChars="200"/>
        <w:rPr>
          <w:rFonts w:hint="eastAsia" w:ascii="宋体" w:hAnsi="宋体"/>
          <w:sz w:val="24"/>
        </w:rPr>
      </w:pPr>
      <w:r>
        <w:rPr>
          <w:rFonts w:hint="eastAsia" w:ascii="宋体" w:hAnsi="宋体"/>
          <w:sz w:val="24"/>
        </w:rPr>
        <w:t>（三）制冷系统服务指标要求</w:t>
      </w:r>
    </w:p>
    <w:p w14:paraId="59F212D0">
      <w:pPr>
        <w:spacing w:line="360" w:lineRule="auto"/>
        <w:ind w:firstLine="480" w:firstLineChars="200"/>
        <w:rPr>
          <w:rFonts w:hint="eastAsia" w:ascii="宋体" w:hAnsi="宋体"/>
          <w:sz w:val="24"/>
        </w:rPr>
      </w:pPr>
      <w:r>
        <w:rPr>
          <w:rFonts w:hint="eastAsia" w:ascii="宋体" w:hAnsi="宋体"/>
          <w:sz w:val="24"/>
          <w:lang w:eastAsia="zh-CN"/>
        </w:rPr>
        <w:t>服务商</w:t>
      </w:r>
      <w:r>
        <w:rPr>
          <w:rFonts w:hint="eastAsia" w:ascii="宋体" w:hAnsi="宋体"/>
          <w:sz w:val="24"/>
        </w:rPr>
        <w:t>需制定制冷系统运维方案，运维方案需提供运维服务项目巡检、维护（季、半年、年）、加载扩容、紧急故障处理等各分项方案。维护内容包括但不限于以下内容：</w:t>
      </w:r>
    </w:p>
    <w:p w14:paraId="0C7C29A6">
      <w:pPr>
        <w:spacing w:line="360" w:lineRule="auto"/>
        <w:ind w:firstLine="480" w:firstLineChars="200"/>
        <w:rPr>
          <w:rFonts w:hint="eastAsia" w:ascii="宋体" w:hAnsi="宋体"/>
          <w:sz w:val="24"/>
        </w:rPr>
      </w:pPr>
      <w:r>
        <w:rPr>
          <w:rFonts w:hint="eastAsia" w:ascii="宋体" w:hAnsi="宋体"/>
          <w:sz w:val="24"/>
        </w:rPr>
        <w:t>1．制定制冷系统巡检流程图及巡检表单，要求维护环节内容完整、定义明确，维护流程清晰可操作、检测指标量化具体。</w:t>
      </w:r>
    </w:p>
    <w:p w14:paraId="65CB0184">
      <w:pPr>
        <w:spacing w:line="360" w:lineRule="auto"/>
        <w:ind w:firstLine="480" w:firstLineChars="200"/>
        <w:rPr>
          <w:rFonts w:hint="eastAsia" w:ascii="宋体" w:hAnsi="宋体"/>
          <w:sz w:val="24"/>
        </w:rPr>
      </w:pPr>
      <w:r>
        <w:rPr>
          <w:rFonts w:hint="eastAsia" w:ascii="宋体" w:hAnsi="宋体"/>
          <w:sz w:val="24"/>
        </w:rPr>
        <w:t>2．制定制冷系统的预防预案，要求明确说明如何在后期维护中做到准确预判制冷系统中各种潜在风险和故障隐患（如热岛效应的处理等），做到提前预防，如何在突发故障时进行突发情况应对，确保系统可靠性的稳定持续。</w:t>
      </w:r>
    </w:p>
    <w:p w14:paraId="065C1252">
      <w:pPr>
        <w:spacing w:line="360" w:lineRule="auto"/>
        <w:ind w:firstLine="480" w:firstLineChars="200"/>
        <w:rPr>
          <w:rFonts w:hint="eastAsia" w:ascii="宋体" w:hAnsi="宋体"/>
          <w:sz w:val="24"/>
        </w:rPr>
      </w:pPr>
      <w:r>
        <w:rPr>
          <w:rFonts w:hint="eastAsia" w:ascii="宋体" w:hAnsi="宋体"/>
          <w:sz w:val="24"/>
        </w:rPr>
        <w:t>3．制定制冷系统各类突发故障情况下的应急预案。</w:t>
      </w:r>
    </w:p>
    <w:p w14:paraId="4E592751">
      <w:pPr>
        <w:spacing w:line="360" w:lineRule="auto"/>
        <w:ind w:firstLine="480" w:firstLineChars="200"/>
        <w:rPr>
          <w:rFonts w:hint="eastAsia" w:ascii="宋体" w:hAnsi="宋体"/>
          <w:sz w:val="24"/>
        </w:rPr>
      </w:pPr>
      <w:r>
        <w:rPr>
          <w:rFonts w:hint="eastAsia" w:ascii="宋体" w:hAnsi="宋体"/>
          <w:sz w:val="24"/>
        </w:rPr>
        <w:t>4．精密空调故障设备在维修期间制冷若不能满足要求，需要提供临时备用的制冷设备。</w:t>
      </w:r>
    </w:p>
    <w:p w14:paraId="17492625">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．定期维保项目标准不得低于以下标准：</w:t>
      </w:r>
    </w:p>
    <w:tbl>
      <w:tblPr>
        <w:tblStyle w:val="5"/>
        <w:tblW w:w="79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4"/>
        <w:gridCol w:w="2489"/>
        <w:gridCol w:w="4486"/>
      </w:tblGrid>
      <w:tr w14:paraId="10FC6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4B9C6E9D">
            <w:pPr>
              <w:widowControl/>
              <w:spacing w:line="288" w:lineRule="auto"/>
              <w:rPr>
                <w:rFonts w:ascii="宋体" w:hAnsi="宋体"/>
                <w:b/>
                <w:color w:val="000000"/>
                <w:sz w:val="24"/>
              </w:rPr>
            </w:pPr>
            <w:r>
              <w:rPr>
                <w:rFonts w:hint="eastAsia" w:ascii="宋体" w:hAnsi="宋体"/>
                <w:b/>
                <w:color w:val="000000"/>
                <w:sz w:val="24"/>
              </w:rPr>
              <w:t>序号</w:t>
            </w:r>
          </w:p>
        </w:tc>
        <w:tc>
          <w:tcPr>
            <w:tcW w:w="2489" w:type="dxa"/>
            <w:noWrap w:val="0"/>
            <w:vAlign w:val="center"/>
          </w:tcPr>
          <w:p w14:paraId="677B3BE0">
            <w:pPr>
              <w:widowControl/>
              <w:spacing w:line="288" w:lineRule="auto"/>
              <w:jc w:val="center"/>
              <w:rPr>
                <w:rFonts w:ascii="宋体" w:hAnsi="宋体"/>
                <w:b/>
                <w:color w:val="000000"/>
                <w:sz w:val="24"/>
              </w:rPr>
            </w:pPr>
            <w:r>
              <w:rPr>
                <w:rFonts w:hint="eastAsia" w:ascii="宋体" w:hAnsi="宋体"/>
                <w:b/>
                <w:color w:val="000000"/>
                <w:sz w:val="24"/>
              </w:rPr>
              <w:t>维护内容</w:t>
            </w:r>
          </w:p>
        </w:tc>
        <w:tc>
          <w:tcPr>
            <w:tcW w:w="4486" w:type="dxa"/>
            <w:noWrap w:val="0"/>
            <w:vAlign w:val="top"/>
          </w:tcPr>
          <w:p w14:paraId="3C9EA414">
            <w:pPr>
              <w:widowControl/>
              <w:spacing w:line="288" w:lineRule="auto"/>
              <w:jc w:val="center"/>
              <w:rPr>
                <w:rFonts w:ascii="宋体" w:hAnsi="宋体"/>
                <w:b/>
                <w:color w:val="000000"/>
                <w:sz w:val="24"/>
              </w:rPr>
            </w:pPr>
            <w:r>
              <w:rPr>
                <w:rFonts w:hint="eastAsia" w:ascii="宋体" w:hAnsi="宋体"/>
                <w:b/>
                <w:color w:val="000000"/>
                <w:sz w:val="24"/>
              </w:rPr>
              <w:t>维护周期</w:t>
            </w:r>
          </w:p>
        </w:tc>
      </w:tr>
      <w:tr w14:paraId="1032D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36EDAFBB">
            <w:pPr>
              <w:widowControl/>
              <w:spacing w:line="288" w:lineRule="auto"/>
              <w:jc w:val="center"/>
              <w:rPr>
                <w:rFonts w:ascii="宋体" w:hAnsi="宋体"/>
                <w:color w:val="000000"/>
                <w:sz w:val="24"/>
              </w:rPr>
            </w:pPr>
            <w:r>
              <w:rPr>
                <w:rFonts w:ascii="宋体" w:hAnsi="宋体"/>
                <w:color w:val="000000"/>
                <w:sz w:val="24"/>
              </w:rPr>
              <w:t>1</w:t>
            </w:r>
          </w:p>
        </w:tc>
        <w:tc>
          <w:tcPr>
            <w:tcW w:w="2489" w:type="dxa"/>
            <w:noWrap w:val="0"/>
            <w:vAlign w:val="center"/>
          </w:tcPr>
          <w:p w14:paraId="42E236B8">
            <w:pPr>
              <w:widowControl/>
              <w:spacing w:line="288" w:lineRule="auto"/>
              <w:rPr>
                <w:rFonts w:ascii="宋体" w:hAnsi="宋体"/>
                <w:color w:val="000000"/>
                <w:sz w:val="24"/>
              </w:rPr>
            </w:pPr>
            <w:r>
              <w:rPr>
                <w:rFonts w:hint="eastAsia" w:ascii="宋体" w:hAnsi="宋体"/>
                <w:color w:val="000000"/>
                <w:sz w:val="24"/>
              </w:rPr>
              <w:t>空调外机冷凝器清洗</w:t>
            </w:r>
          </w:p>
        </w:tc>
        <w:tc>
          <w:tcPr>
            <w:tcW w:w="4486" w:type="dxa"/>
            <w:noWrap w:val="0"/>
            <w:vAlign w:val="top"/>
          </w:tcPr>
          <w:p w14:paraId="430129C0">
            <w:pPr>
              <w:widowControl/>
              <w:spacing w:line="288" w:lineRule="auto"/>
              <w:jc w:val="center"/>
              <w:rPr>
                <w:rFonts w:ascii="宋体" w:hAnsi="宋体"/>
                <w:color w:val="000000"/>
                <w:sz w:val="24"/>
              </w:rPr>
            </w:pPr>
            <w:r>
              <w:rPr>
                <w:rFonts w:hint="eastAsia" w:ascii="宋体" w:hAnsi="宋体"/>
                <w:color w:val="000000"/>
                <w:sz w:val="24"/>
              </w:rPr>
              <w:t>每年至少2次，特殊情况随时清洗、维护</w:t>
            </w:r>
          </w:p>
        </w:tc>
      </w:tr>
      <w:tr w14:paraId="156A6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5DB9FF15">
            <w:pPr>
              <w:widowControl/>
              <w:spacing w:line="288" w:lineRule="auto"/>
              <w:jc w:val="center"/>
              <w:rPr>
                <w:rFonts w:ascii="宋体" w:hAnsi="宋体"/>
                <w:color w:val="000000"/>
                <w:sz w:val="24"/>
              </w:rPr>
            </w:pPr>
            <w:r>
              <w:rPr>
                <w:rFonts w:hint="eastAsia" w:ascii="宋体" w:hAnsi="宋体"/>
                <w:color w:val="000000"/>
                <w:sz w:val="24"/>
              </w:rPr>
              <w:t>2</w:t>
            </w:r>
          </w:p>
        </w:tc>
        <w:tc>
          <w:tcPr>
            <w:tcW w:w="2489" w:type="dxa"/>
            <w:noWrap w:val="0"/>
            <w:vAlign w:val="center"/>
          </w:tcPr>
          <w:p w14:paraId="5D59F375">
            <w:pPr>
              <w:widowControl/>
              <w:spacing w:line="288" w:lineRule="auto"/>
              <w:rPr>
                <w:rFonts w:ascii="宋体" w:hAnsi="宋体"/>
                <w:color w:val="000000"/>
                <w:sz w:val="24"/>
              </w:rPr>
            </w:pPr>
            <w:r>
              <w:rPr>
                <w:rFonts w:hint="eastAsia" w:ascii="宋体" w:hAnsi="宋体"/>
                <w:color w:val="000000"/>
                <w:sz w:val="24"/>
              </w:rPr>
              <w:t>室内机加湿系统清洗</w:t>
            </w:r>
          </w:p>
        </w:tc>
        <w:tc>
          <w:tcPr>
            <w:tcW w:w="4486" w:type="dxa"/>
            <w:noWrap w:val="0"/>
            <w:vAlign w:val="top"/>
          </w:tcPr>
          <w:p w14:paraId="39150828">
            <w:pPr>
              <w:widowControl/>
              <w:spacing w:line="288" w:lineRule="auto"/>
              <w:jc w:val="center"/>
              <w:rPr>
                <w:rFonts w:ascii="宋体" w:hAnsi="宋体"/>
                <w:color w:val="000000"/>
                <w:sz w:val="24"/>
              </w:rPr>
            </w:pPr>
            <w:r>
              <w:rPr>
                <w:rFonts w:hint="eastAsia" w:ascii="宋体" w:hAnsi="宋体"/>
                <w:color w:val="000000"/>
                <w:sz w:val="24"/>
              </w:rPr>
              <w:t>每年至少2次，特殊情况随时清洗、维护</w:t>
            </w:r>
          </w:p>
        </w:tc>
      </w:tr>
      <w:tr w14:paraId="7F61C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34" w:type="dxa"/>
            <w:noWrap w:val="0"/>
            <w:vAlign w:val="center"/>
          </w:tcPr>
          <w:p w14:paraId="60E67964">
            <w:pPr>
              <w:widowControl/>
              <w:spacing w:line="288" w:lineRule="auto"/>
              <w:jc w:val="center"/>
              <w:rPr>
                <w:rFonts w:ascii="宋体" w:hAnsi="宋体"/>
                <w:color w:val="000000"/>
                <w:sz w:val="24"/>
              </w:rPr>
            </w:pPr>
            <w:r>
              <w:rPr>
                <w:rFonts w:ascii="宋体" w:hAnsi="宋体"/>
                <w:color w:val="000000"/>
                <w:sz w:val="24"/>
              </w:rPr>
              <w:t>3</w:t>
            </w:r>
          </w:p>
        </w:tc>
        <w:tc>
          <w:tcPr>
            <w:tcW w:w="2489" w:type="dxa"/>
            <w:noWrap w:val="0"/>
            <w:vAlign w:val="center"/>
          </w:tcPr>
          <w:p w14:paraId="058DB532">
            <w:pPr>
              <w:widowControl/>
              <w:spacing w:line="288" w:lineRule="auto"/>
              <w:rPr>
                <w:rFonts w:ascii="宋体" w:hAnsi="宋体"/>
                <w:color w:val="000000"/>
                <w:sz w:val="24"/>
              </w:rPr>
            </w:pPr>
            <w:r>
              <w:rPr>
                <w:rFonts w:hint="eastAsia" w:ascii="宋体" w:hAnsi="宋体"/>
                <w:color w:val="000000"/>
                <w:sz w:val="24"/>
              </w:rPr>
              <w:t>室内机风机皮带更换</w:t>
            </w:r>
          </w:p>
        </w:tc>
        <w:tc>
          <w:tcPr>
            <w:tcW w:w="4486" w:type="dxa"/>
            <w:noWrap w:val="0"/>
            <w:vAlign w:val="top"/>
          </w:tcPr>
          <w:p w14:paraId="10AF3C03">
            <w:pPr>
              <w:widowControl/>
              <w:spacing w:line="288" w:lineRule="auto"/>
              <w:jc w:val="center"/>
              <w:rPr>
                <w:rFonts w:ascii="宋体" w:hAnsi="宋体"/>
                <w:color w:val="000000"/>
                <w:sz w:val="24"/>
              </w:rPr>
            </w:pPr>
            <w:r>
              <w:rPr>
                <w:rFonts w:hint="eastAsia" w:ascii="宋体" w:hAnsi="宋体"/>
                <w:color w:val="000000"/>
                <w:sz w:val="24"/>
              </w:rPr>
              <w:t>每年至少1次，特殊情况随时更换</w:t>
            </w:r>
          </w:p>
        </w:tc>
      </w:tr>
      <w:tr w14:paraId="7F89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934" w:type="dxa"/>
            <w:noWrap w:val="0"/>
            <w:vAlign w:val="center"/>
          </w:tcPr>
          <w:p w14:paraId="54576CEC">
            <w:pPr>
              <w:widowControl/>
              <w:spacing w:line="288" w:lineRule="auto"/>
              <w:jc w:val="center"/>
              <w:rPr>
                <w:rFonts w:ascii="宋体" w:hAnsi="宋体"/>
                <w:color w:val="000000"/>
                <w:sz w:val="24"/>
              </w:rPr>
            </w:pPr>
            <w:r>
              <w:rPr>
                <w:rFonts w:ascii="宋体" w:hAnsi="宋体"/>
                <w:color w:val="000000"/>
                <w:sz w:val="24"/>
              </w:rPr>
              <w:t>4</w:t>
            </w:r>
          </w:p>
        </w:tc>
        <w:tc>
          <w:tcPr>
            <w:tcW w:w="2489" w:type="dxa"/>
            <w:noWrap w:val="0"/>
            <w:vAlign w:val="center"/>
          </w:tcPr>
          <w:p w14:paraId="2A07FF74">
            <w:pPr>
              <w:widowControl/>
              <w:spacing w:line="288" w:lineRule="auto"/>
              <w:rPr>
                <w:rFonts w:ascii="宋体" w:hAnsi="宋体"/>
                <w:color w:val="000000"/>
                <w:sz w:val="24"/>
              </w:rPr>
            </w:pPr>
            <w:r>
              <w:rPr>
                <w:rFonts w:hint="eastAsia" w:ascii="宋体" w:hAnsi="宋体"/>
                <w:color w:val="000000"/>
                <w:sz w:val="24"/>
              </w:rPr>
              <w:t>室内机过滤网更换</w:t>
            </w:r>
          </w:p>
        </w:tc>
        <w:tc>
          <w:tcPr>
            <w:tcW w:w="4486" w:type="dxa"/>
            <w:noWrap w:val="0"/>
            <w:vAlign w:val="top"/>
          </w:tcPr>
          <w:p w14:paraId="7D79F3CC">
            <w:pPr>
              <w:widowControl/>
              <w:spacing w:line="288" w:lineRule="auto"/>
              <w:jc w:val="center"/>
              <w:rPr>
                <w:rFonts w:ascii="宋体" w:hAnsi="宋体"/>
                <w:color w:val="000000"/>
                <w:sz w:val="24"/>
              </w:rPr>
            </w:pPr>
            <w:r>
              <w:rPr>
                <w:rFonts w:hint="eastAsia" w:ascii="宋体" w:hAnsi="宋体"/>
                <w:color w:val="000000"/>
                <w:sz w:val="24"/>
              </w:rPr>
              <w:t>每年至少2次，特殊情况随时更换</w:t>
            </w:r>
          </w:p>
        </w:tc>
      </w:tr>
    </w:tbl>
    <w:p w14:paraId="1640E1BE">
      <w:pPr>
        <w:spacing w:line="360" w:lineRule="auto"/>
        <w:ind w:firstLine="480" w:firstLineChars="200"/>
        <w:rPr>
          <w:rFonts w:hint="eastAsia" w:ascii="宋体" w:hAnsi="宋体"/>
          <w:sz w:val="24"/>
        </w:rPr>
      </w:pPr>
      <w:r>
        <w:rPr>
          <w:rFonts w:hint="eastAsia" w:ascii="宋体" w:hAnsi="宋体"/>
          <w:sz w:val="24"/>
        </w:rPr>
        <w:t>（四）环境监控系统服务指标要求</w:t>
      </w:r>
    </w:p>
    <w:p w14:paraId="650DE289">
      <w:pPr>
        <w:spacing w:line="360" w:lineRule="auto"/>
        <w:ind w:firstLine="480" w:firstLineChars="200"/>
        <w:rPr>
          <w:rFonts w:hint="eastAsia" w:ascii="宋体" w:hAnsi="宋体"/>
          <w:sz w:val="24"/>
        </w:rPr>
      </w:pPr>
      <w:r>
        <w:rPr>
          <w:rFonts w:hint="eastAsia" w:ascii="宋体" w:hAnsi="宋体"/>
          <w:sz w:val="24"/>
        </w:rPr>
        <w:t>环境监控系统建设完成后对采购人机房环境监控系统进行维护、维修，确保采购人机房环境监控系统稳定可靠运行，能够实现对机房的物理环境系统实时监测、记录和分析相关监控数据，实现后台的集中监控管理，通过远程电话语音报警、短信报警邮件报警等灵活的告警方式实现远程异地监控，实现机房安全无人值守。故障处理时效不超过24小时。</w:t>
      </w:r>
    </w:p>
    <w:p w14:paraId="0F809E55">
      <w:pPr>
        <w:spacing w:line="360" w:lineRule="auto"/>
        <w:ind w:firstLine="480" w:firstLineChars="200"/>
        <w:rPr>
          <w:rFonts w:hint="eastAsia" w:ascii="宋体" w:hAnsi="宋体"/>
          <w:sz w:val="24"/>
        </w:rPr>
      </w:pPr>
      <w:r>
        <w:rPr>
          <w:rFonts w:hint="eastAsia" w:ascii="宋体" w:hAnsi="宋体"/>
          <w:sz w:val="24"/>
        </w:rPr>
        <w:t>（五）机房装修系统服务指标要求</w:t>
      </w:r>
    </w:p>
    <w:p w14:paraId="7FCABBF3">
      <w:pPr>
        <w:spacing w:line="360" w:lineRule="auto"/>
        <w:ind w:firstLine="480" w:firstLineChars="200"/>
        <w:rPr>
          <w:rFonts w:hint="eastAsia" w:ascii="宋体" w:hAnsi="宋体"/>
          <w:sz w:val="24"/>
        </w:rPr>
      </w:pPr>
      <w:r>
        <w:rPr>
          <w:rFonts w:hint="eastAsia" w:ascii="宋体" w:hAnsi="宋体"/>
          <w:sz w:val="24"/>
        </w:rPr>
        <w:t>对采购人机房装修系统进行维护、维修，机房装修系统包括机房照明、抗静电地板、散流网、彩钢板墙面、机房吊顶及桥架等，保障其使用正常，故障处理（包括按照采购人要求对影响机房美观和效能的部件进行更换）时效不超过48小时；</w:t>
      </w:r>
    </w:p>
    <w:p w14:paraId="5DEE7BB8">
      <w:pPr>
        <w:rPr>
          <w:rFonts w:hint="eastAsia" w:ascii="宋体" w:hAnsi="宋体"/>
          <w:sz w:val="24"/>
        </w:rPr>
      </w:pPr>
      <w:r>
        <w:rPr>
          <w:rFonts w:hint="eastAsia" w:ascii="宋体" w:hAnsi="宋体"/>
          <w:sz w:val="24"/>
        </w:rPr>
        <w:br w:type="page"/>
      </w:r>
    </w:p>
    <w:p w14:paraId="6DCD5CED">
      <w:pPr>
        <w:pStyle w:val="2"/>
        <w:numPr>
          <w:ilvl w:val="0"/>
          <w:numId w:val="2"/>
        </w:numPr>
        <w:rPr>
          <w:rFonts w:hint="eastAsia"/>
          <w:b/>
          <w:bCs/>
          <w:lang w:val="en-US" w:eastAsia="zh-CN"/>
        </w:rPr>
      </w:pPr>
      <w:r>
        <w:rPr>
          <w:rFonts w:hint="eastAsia"/>
          <w:b/>
          <w:bCs/>
          <w:lang w:val="en-US" w:eastAsia="zh-CN"/>
        </w:rPr>
        <w:t>报价格式</w:t>
      </w:r>
    </w:p>
    <w:p w14:paraId="05E3A1E1">
      <w:pPr>
        <w:pStyle w:val="2"/>
        <w:numPr>
          <w:ilvl w:val="0"/>
          <w:numId w:val="0"/>
        </w:numPr>
        <w:jc w:val="center"/>
        <w:rPr>
          <w:rFonts w:hint="eastAsia"/>
          <w:lang w:val="en-US" w:eastAsia="zh-CN"/>
        </w:rPr>
      </w:pPr>
    </w:p>
    <w:p w14:paraId="7C9E7E45">
      <w:pPr>
        <w:pStyle w:val="2"/>
        <w:numPr>
          <w:ilvl w:val="0"/>
          <w:numId w:val="0"/>
        </w:numPr>
        <w:jc w:val="center"/>
        <w:rPr>
          <w:rFonts w:hint="default"/>
          <w:b/>
          <w:bCs/>
          <w:lang w:val="en-US" w:eastAsia="zh-CN"/>
        </w:rPr>
      </w:pPr>
      <w:r>
        <w:rPr>
          <w:rFonts w:hint="eastAsia"/>
          <w:b/>
          <w:bCs/>
          <w:lang w:val="en-US" w:eastAsia="zh-CN"/>
        </w:rPr>
        <w:t>机房UPS维保服务报价单</w:t>
      </w:r>
    </w:p>
    <w:p w14:paraId="66CC25F5">
      <w:pPr>
        <w:pStyle w:val="2"/>
        <w:numPr>
          <w:ilvl w:val="0"/>
          <w:numId w:val="0"/>
        </w:numPr>
        <w:rPr>
          <w:rFonts w:hint="default"/>
          <w:lang w:val="en-US" w:eastAsia="zh-CN"/>
        </w:rPr>
      </w:pPr>
    </w:p>
    <w:tbl>
      <w:tblPr>
        <w:tblStyle w:val="5"/>
        <w:tblW w:w="8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1295"/>
        <w:gridCol w:w="1091"/>
        <w:gridCol w:w="1678"/>
        <w:gridCol w:w="1050"/>
        <w:gridCol w:w="1363"/>
        <w:gridCol w:w="1514"/>
      </w:tblGrid>
      <w:tr w14:paraId="15FF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357">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B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项目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C65">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ascii="宋体" w:hAnsi="宋体" w:eastAsia="宋体" w:cs="宋体"/>
                <w:i w:val="0"/>
                <w:iCs w:val="0"/>
                <w:color w:val="000000"/>
                <w:sz w:val="22"/>
                <w:szCs w:val="22"/>
                <w:u w:val="none"/>
              </w:rPr>
            </w:pPr>
            <w:r>
              <w:rPr>
                <w:rStyle w:val="8"/>
                <w:rFonts w:hint="eastAsia"/>
                <w:lang w:val="en-US" w:eastAsia="zh-CN" w:bidi="ar"/>
              </w:rPr>
              <w:t>当前</w:t>
            </w:r>
            <w:r>
              <w:rPr>
                <w:rStyle w:val="8"/>
                <w:lang w:val="en-US" w:eastAsia="zh-CN" w:bidi="ar"/>
              </w:rPr>
              <w:t>负载（KW）</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F63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rFonts w:hint="eastAsia"/>
                <w:lang w:val="en-US" w:eastAsia="zh-CN" w:bidi="ar"/>
              </w:rPr>
              <w:t>预估</w:t>
            </w:r>
            <w:r>
              <w:rPr>
                <w:rStyle w:val="8"/>
                <w:lang w:val="en-US" w:eastAsia="zh-CN" w:bidi="ar"/>
              </w:rPr>
              <w:t>年用电量（度）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85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电度单价（元）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83A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合价（元）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672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备注</w:t>
            </w:r>
          </w:p>
        </w:tc>
      </w:tr>
      <w:tr w14:paraId="7E1C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EA9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总院</w:t>
            </w:r>
            <w:r>
              <w:rPr>
                <w:rStyle w:val="8"/>
                <w:lang w:val="en-US" w:eastAsia="zh-CN" w:bidi="ar"/>
              </w:rPr>
              <w:t>主机房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214D">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UPS系统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2B5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35.8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FB4">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20000</w:t>
            </w:r>
            <w:r>
              <w:rPr>
                <w:rFonts w:ascii="宋体" w:hAnsi="宋体" w:eastAsia="宋体" w:cs="宋体"/>
                <w:i w:val="0"/>
                <w:iCs w:val="0"/>
                <w:color w:val="000000"/>
                <w:kern w:val="0"/>
                <w:sz w:val="22"/>
                <w:szCs w:val="22"/>
                <w:u w:val="none"/>
                <w:lang w:val="en-US" w:eastAsia="zh-CN"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2A95">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F2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vMerge w:val="restart"/>
            <w:tcBorders>
              <w:top w:val="single" w:color="000000" w:sz="4" w:space="0"/>
              <w:left w:val="single" w:color="000000" w:sz="4" w:space="0"/>
              <w:right w:val="single" w:color="000000" w:sz="4" w:space="0"/>
            </w:tcBorders>
            <w:shd w:val="clear" w:color="auto" w:fill="auto"/>
            <w:vAlign w:val="top"/>
          </w:tcPr>
          <w:p w14:paraId="67105F7D">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年服务费按用电单价*年度实际用电总量</w:t>
            </w:r>
          </w:p>
        </w:tc>
      </w:tr>
      <w:tr w14:paraId="07BF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87E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分院</w:t>
            </w:r>
            <w:r>
              <w:rPr>
                <w:rStyle w:val="8"/>
                <w:lang w:val="en-US" w:eastAsia="zh-CN" w:bidi="ar"/>
              </w:rPr>
              <w:t>备机房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71ED">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UPS系统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5784">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2.4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736">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2000</w:t>
            </w:r>
            <w:r>
              <w:rPr>
                <w:rFonts w:ascii="宋体" w:hAnsi="宋体" w:eastAsia="宋体" w:cs="宋体"/>
                <w:i w:val="0"/>
                <w:iCs w:val="0"/>
                <w:color w:val="000000"/>
                <w:kern w:val="0"/>
                <w:sz w:val="22"/>
                <w:szCs w:val="22"/>
                <w:u w:val="none"/>
                <w:lang w:val="en-US" w:eastAsia="zh-CN"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56E">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998">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vMerge w:val="continue"/>
            <w:tcBorders>
              <w:left w:val="single" w:color="000000" w:sz="4" w:space="0"/>
              <w:bottom w:val="single" w:color="000000" w:sz="4" w:space="0"/>
              <w:right w:val="single" w:color="000000" w:sz="4" w:space="0"/>
            </w:tcBorders>
            <w:shd w:val="clear" w:color="auto" w:fill="auto"/>
            <w:vAlign w:val="top"/>
          </w:tcPr>
          <w:p w14:paraId="44D46129">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2AFB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065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小计（1）</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9DDAD9">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CF48">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4A655301">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1E21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81D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F6F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项目</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B624E">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配置</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4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年费用</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855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ascii="宋体" w:hAnsi="宋体" w:eastAsia="宋体" w:cs="宋体"/>
                <w:i w:val="0"/>
                <w:iCs w:val="0"/>
                <w:color w:val="000000"/>
                <w:sz w:val="22"/>
                <w:szCs w:val="22"/>
                <w:u w:val="none"/>
              </w:rPr>
            </w:pPr>
            <w:r>
              <w:rPr>
                <w:rStyle w:val="8"/>
                <w:lang w:val="en-US" w:eastAsia="zh-CN" w:bidi="ar"/>
              </w:rPr>
              <w:t>备注</w:t>
            </w:r>
          </w:p>
        </w:tc>
      </w:tr>
      <w:tr w14:paraId="6552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6F71F">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总院</w:t>
            </w:r>
            <w:r>
              <w:rPr>
                <w:rStyle w:val="8"/>
                <w:lang w:val="en-US" w:eastAsia="zh-CN" w:bidi="ar"/>
              </w:rPr>
              <w:t>主机房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198">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制冷系统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3C7D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2台40KW制冷量双系统下送风精密空调、2台12.5KW制冷量上送风精密空调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D1D1">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2444193F">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2D60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4AB4">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098C">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动环监控系统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A7DE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UPS主机、精密空调、漏水监控、机房温湿度、红外监控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04D">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4F5C6AFE">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680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8499">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2AC">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2"/>
                <w:szCs w:val="22"/>
                <w:u w:val="none"/>
                <w:lang w:val="en-US"/>
              </w:rPr>
            </w:pPr>
            <w:r>
              <w:rPr>
                <w:rStyle w:val="8"/>
                <w:rFonts w:hint="eastAsia"/>
                <w:lang w:val="en-US" w:eastAsia="zh-CN" w:bidi="ar"/>
              </w:rPr>
              <w:t>机房装修系统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71907">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机房照明、机房门禁等</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EF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309EE041">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1C49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3DCA1">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分院</w:t>
            </w:r>
            <w:r>
              <w:rPr>
                <w:rStyle w:val="8"/>
                <w:lang w:val="en-US" w:eastAsia="zh-CN" w:bidi="ar"/>
              </w:rPr>
              <w:t>备机房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F1CC">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制冷系统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D1315">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1台12.5KW制冷量上送风精密空调、1台12.5KW制冷量普通柜式空调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A40">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44D98E30">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61C0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81DB">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4F6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动环监控系统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49CB3">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UPS主机、精密空调、漏水监控、机房温湿度、红外监控</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56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3FC2EB0B">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1AC6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66B6">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1FD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rFonts w:hint="eastAsia"/>
                <w:lang w:val="en-US" w:eastAsia="zh-CN" w:bidi="ar"/>
              </w:rPr>
              <w:t>机房装修系统</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B2982">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机房照明、机房门禁等</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CF78">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69D8BE07">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21C8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D498B">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ascii="宋体" w:hAnsi="宋体" w:eastAsia="宋体" w:cs="宋体"/>
                <w:i w:val="0"/>
                <w:iCs w:val="0"/>
                <w:color w:val="000000"/>
                <w:sz w:val="22"/>
                <w:szCs w:val="22"/>
                <w:u w:val="none"/>
              </w:rPr>
            </w:pPr>
            <w:r>
              <w:rPr>
                <w:rStyle w:val="8"/>
                <w:lang w:val="en-US" w:eastAsia="zh-CN" w:bidi="ar"/>
              </w:rPr>
              <w:t>小计（2）</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CF1B9B">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226">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297A37CE">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r w14:paraId="0B1A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48482">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r>
              <w:rPr>
                <w:rStyle w:val="8"/>
                <w:lang w:val="en-US" w:eastAsia="zh-CN" w:bidi="ar"/>
              </w:rPr>
              <w:t>总计</w:t>
            </w:r>
          </w:p>
        </w:tc>
        <w:tc>
          <w:tcPr>
            <w:tcW w:w="38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A821F4">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EC3B">
            <w:pPr>
              <w:keepNext w:val="0"/>
              <w:keepLines w:val="0"/>
              <w:pageBreakBefore w:val="0"/>
              <w:widowControl/>
              <w:suppressLineNumbers w:val="0"/>
              <w:kinsoku/>
              <w:wordWrap/>
              <w:overflowPunct/>
              <w:topLinePunct w:val="0"/>
              <w:autoSpaceDE/>
              <w:autoSpaceDN/>
              <w:bidi w:val="0"/>
              <w:adjustRightInd/>
              <w:snapToGrid/>
              <w:ind w:firstLineChars="0"/>
              <w:jc w:val="right"/>
              <w:textAlignment w:val="center"/>
              <w:rPr>
                <w:rFonts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top"/>
          </w:tcPr>
          <w:p w14:paraId="6BE5180D">
            <w:pPr>
              <w:keepNext w:val="0"/>
              <w:keepLines w:val="0"/>
              <w:pageBreakBefore w:val="0"/>
              <w:widowControl/>
              <w:kinsoku/>
              <w:wordWrap/>
              <w:overflowPunct/>
              <w:topLinePunct w:val="0"/>
              <w:autoSpaceDE/>
              <w:autoSpaceDN/>
              <w:bidi w:val="0"/>
              <w:adjustRightInd/>
              <w:snapToGrid/>
              <w:ind w:firstLineChars="0"/>
              <w:jc w:val="left"/>
              <w:rPr>
                <w:rFonts w:hint="default" w:ascii="Arial" w:hAnsi="Arial" w:cs="Arial"/>
                <w:i w:val="0"/>
                <w:iCs w:val="0"/>
                <w:color w:val="000000"/>
                <w:sz w:val="22"/>
                <w:szCs w:val="22"/>
                <w:u w:val="none"/>
              </w:rPr>
            </w:pPr>
          </w:p>
        </w:tc>
      </w:tr>
    </w:tbl>
    <w:p w14:paraId="3EB2B720"/>
    <w:p w14:paraId="6343019E">
      <w:pPr>
        <w:pStyle w:val="2"/>
      </w:pPr>
    </w:p>
    <w:p w14:paraId="1A6B5CCA">
      <w:pPr>
        <w:pStyle w:val="2"/>
        <w:rPr>
          <w:rFonts w:hint="eastAsia"/>
          <w:u w:val="single"/>
          <w:lang w:val="en-US" w:eastAsia="zh-CN"/>
        </w:rPr>
      </w:pPr>
      <w:r>
        <w:rPr>
          <w:rFonts w:hint="eastAsia"/>
          <w:lang w:val="en-US" w:eastAsia="zh-CN"/>
        </w:rPr>
        <w:t>报价单位（加盖公章）：</w:t>
      </w:r>
      <w:r>
        <w:rPr>
          <w:rFonts w:hint="eastAsia"/>
          <w:u w:val="single"/>
          <w:lang w:val="en-US" w:eastAsia="zh-CN"/>
        </w:rPr>
        <w:t xml:space="preserve">                         </w:t>
      </w:r>
    </w:p>
    <w:p w14:paraId="1FE3AB47">
      <w:pPr>
        <w:pStyle w:val="2"/>
        <w:rPr>
          <w:rFonts w:hint="eastAsia"/>
          <w:u w:val="single"/>
          <w:lang w:val="en-US" w:eastAsia="zh-CN"/>
        </w:rPr>
      </w:pPr>
      <w:r>
        <w:rPr>
          <w:rFonts w:hint="eastAsia"/>
          <w:u w:val="none"/>
          <w:lang w:val="en-US" w:eastAsia="zh-CN"/>
        </w:rPr>
        <w:t>联系人：</w:t>
      </w:r>
      <w:r>
        <w:rPr>
          <w:rFonts w:hint="eastAsia"/>
          <w:u w:val="single"/>
          <w:lang w:val="en-US" w:eastAsia="zh-CN"/>
        </w:rPr>
        <w:t xml:space="preserve">            </w:t>
      </w:r>
      <w:r>
        <w:rPr>
          <w:rFonts w:hint="eastAsia"/>
          <w:u w:val="none"/>
          <w:lang w:val="en-US" w:eastAsia="zh-CN"/>
        </w:rPr>
        <w:t>联系电话：</w:t>
      </w:r>
      <w:r>
        <w:rPr>
          <w:rFonts w:hint="eastAsia"/>
          <w:u w:val="single"/>
          <w:lang w:val="en-US" w:eastAsia="zh-CN"/>
        </w:rPr>
        <w:t xml:space="preserve">                </w:t>
      </w:r>
    </w:p>
    <w:p w14:paraId="039682F0">
      <w:pPr>
        <w:pStyle w:val="2"/>
        <w:rPr>
          <w:rFonts w:hint="default"/>
          <w:u w:val="none"/>
          <w:lang w:val="en-US" w:eastAsia="zh-CN"/>
        </w:rPr>
      </w:pPr>
      <w:r>
        <w:rPr>
          <w:rFonts w:hint="eastAsia"/>
          <w:u w:val="none"/>
          <w:lang w:val="en-US" w:eastAsia="zh-CN"/>
        </w:rPr>
        <w:t>报价日期：</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5B925"/>
    <w:multiLevelType w:val="singleLevel"/>
    <w:tmpl w:val="50A5B925"/>
    <w:lvl w:ilvl="0" w:tentative="0">
      <w:start w:val="8"/>
      <w:numFmt w:val="chineseCounting"/>
      <w:suff w:val="nothing"/>
      <w:lvlText w:val="%1、"/>
      <w:lvlJc w:val="left"/>
      <w:rPr>
        <w:rFonts w:hint="eastAsia"/>
      </w:rPr>
    </w:lvl>
  </w:abstractNum>
  <w:abstractNum w:abstractNumId="1">
    <w:nsid w:val="6167A197"/>
    <w:multiLevelType w:val="singleLevel"/>
    <w:tmpl w:val="6167A19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DZiYmRiN2Y3MTk4MmU0ODIxOTk5Mjg3NWYxMjIifQ=="/>
  </w:docVars>
  <w:rsids>
    <w:rsidRoot w:val="36AF4A74"/>
    <w:rsid w:val="00F32E59"/>
    <w:rsid w:val="046B3792"/>
    <w:rsid w:val="10A5585C"/>
    <w:rsid w:val="21163D89"/>
    <w:rsid w:val="2D1A2DCC"/>
    <w:rsid w:val="36AF4A74"/>
    <w:rsid w:val="437F39EB"/>
    <w:rsid w:val="5F2E2E72"/>
    <w:rsid w:val="68E428C3"/>
    <w:rsid w:val="6F430B4C"/>
    <w:rsid w:val="77F8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jc w:val="left"/>
      <w:outlineLvl w:val="0"/>
    </w:pPr>
    <w:rPr>
      <w:rFonts w:ascii="Times New Roman" w:hAnsi="Times New Roman" w:eastAsia="黑体"/>
      <w:b/>
      <w:kern w:val="44"/>
      <w:sz w:val="36"/>
      <w:szCs w:val="20"/>
    </w:rPr>
  </w:style>
  <w:style w:type="paragraph" w:styleId="4">
    <w:name w:val="heading 2"/>
    <w:basedOn w:val="1"/>
    <w:next w:val="1"/>
    <w:autoRedefine/>
    <w:qFormat/>
    <w:uiPriority w:val="9"/>
    <w:pPr>
      <w:keepNext/>
      <w:keepLines/>
      <w:spacing w:before="260" w:after="260" w:line="412" w:lineRule="auto"/>
      <w:jc w:val="center"/>
      <w:outlineLvl w:val="1"/>
    </w:pPr>
    <w:rPr>
      <w:rFonts w:ascii="CG Times" w:hAnsi="CG Times" w:cs="宋体"/>
      <w:sz w:val="30"/>
      <w:szCs w:val="20"/>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pPr>
      <w:spacing w:line="380" w:lineRule="exact"/>
    </w:pPr>
    <w:rPr>
      <w:sz w:val="24"/>
    </w:rPr>
  </w:style>
  <w:style w:type="paragraph" w:customStyle="1" w:styleId="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
    <w:name w:val="font2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6917</Words>
  <Characters>7202</Characters>
  <Lines>0</Lines>
  <Paragraphs>0</Paragraphs>
  <TotalTime>33</TotalTime>
  <ScaleCrop>false</ScaleCrop>
  <LinksUpToDate>false</LinksUpToDate>
  <CharactersWithSpaces>7291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陈辉煌</dc:creator>
  <cp:lastModifiedBy>钟进炜</cp:lastModifiedBy>
  <dcterms:modified xsi:type="dcterms:W3CDTF">2024-08-21T00:59:56Z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2D5B9F3F4CAA449FA02A95874E5E9A6A_13</vt:lpwstr>
  </property>
</Properties>
</file>