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Pr="00C727A3" w:rsidRDefault="00222E9A" w:rsidP="00C727A3">
      <w:pPr>
        <w:widowControl/>
        <w:spacing w:line="360" w:lineRule="auto"/>
        <w:jc w:val="center"/>
        <w:rPr>
          <w:rFonts w:ascii="仿宋" w:eastAsia="仿宋" w:hAnsi="仿宋" w:cs="Helvetica"/>
          <w:color w:val="000000" w:themeColor="text1"/>
          <w:kern w:val="0"/>
          <w:sz w:val="44"/>
          <w:szCs w:val="44"/>
        </w:rPr>
      </w:pPr>
      <w:r w:rsidRPr="00222E9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公务出行车辆租赁服务</w:t>
      </w:r>
      <w:r w:rsidR="006E1B8A" w:rsidRPr="006E1B8A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的院内采购公告</w:t>
      </w:r>
    </w:p>
    <w:p w:rsidR="00C727A3" w:rsidRPr="00222E9A" w:rsidRDefault="00C727A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222E9A" w:rsidRPr="00222E9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公务出行车辆</w:t>
      </w:r>
      <w:r w:rsidR="00222E9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（7座以上）</w:t>
      </w:r>
      <w:r w:rsidR="00222E9A" w:rsidRPr="00222E9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租赁服务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Style w:val="TableNormal"/>
        <w:tblpPr w:leftFromText="180" w:rightFromText="180" w:vertAnchor="page" w:horzAnchor="margin" w:tblpY="4906"/>
        <w:tblOverlap w:val="never"/>
        <w:tblW w:w="929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91"/>
        <w:gridCol w:w="1210"/>
        <w:gridCol w:w="1209"/>
        <w:gridCol w:w="1092"/>
        <w:gridCol w:w="1296"/>
        <w:gridCol w:w="1296"/>
        <w:gridCol w:w="1204"/>
      </w:tblGrid>
      <w:tr w:rsidR="00657565" w:rsidTr="006A601F">
        <w:trPr>
          <w:trHeight w:val="321"/>
        </w:trPr>
        <w:tc>
          <w:tcPr>
            <w:tcW w:w="1991" w:type="dxa"/>
            <w:vMerge w:val="restart"/>
            <w:tcBorders>
              <w:bottom w:val="nil"/>
            </w:tcBorders>
            <w:vAlign w:val="center"/>
          </w:tcPr>
          <w:p w:rsidR="00657565" w:rsidRPr="003B36D4" w:rsidRDefault="00F52AA4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left:0;text-align:left;margin-left:-.7pt;margin-top:.9pt;width:92.6pt;height:46.65pt;z-index:-251658752" o:gfxdata="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Qh/FNYAAAAHAQAADwAAAAAAAAABACAAAAAiAAAAZHJzL2Rvd25y&#10;ZXYueG1sUEsBAhQAFAAAAAgAh07iQJoIpoAAAgAA8QMAAA4AAAAAAAAAAQAgAAAAJQEAAGRycy9l&#10;Mm9Eb2MueG1sUEsFBgAAAAAGAAYAWQEAAJcFAAAAAA==&#10;"/>
              </w:pic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路线     车型</w:t>
            </w:r>
          </w:p>
        </w:tc>
        <w:tc>
          <w:tcPr>
            <w:tcW w:w="7307" w:type="dxa"/>
            <w:gridSpan w:val="6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sz w:val="24"/>
                <w:szCs w:val="24"/>
              </w:rPr>
              <w:t>车辆租赁服务单价限价表（单位：元）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Merge/>
            <w:tcBorders>
              <w:top w:val="nil"/>
            </w:tcBorders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商务车</w:t>
            </w:r>
          </w:p>
          <w:p w:rsidR="00657565" w:rsidRPr="003B36D4" w:rsidRDefault="00657565" w:rsidP="006A601F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7座</w:t>
            </w:r>
          </w:p>
        </w:tc>
        <w:tc>
          <w:tcPr>
            <w:tcW w:w="1209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中巴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12-17座</w:t>
            </w:r>
          </w:p>
        </w:tc>
        <w:tc>
          <w:tcPr>
            <w:tcW w:w="1092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考斯特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19座</w:t>
            </w:r>
          </w:p>
        </w:tc>
        <w:tc>
          <w:tcPr>
            <w:tcW w:w="1296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中巴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30-38座</w:t>
            </w:r>
          </w:p>
        </w:tc>
        <w:tc>
          <w:tcPr>
            <w:tcW w:w="1296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大巴车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44-48座</w:t>
            </w:r>
          </w:p>
        </w:tc>
        <w:tc>
          <w:tcPr>
            <w:tcW w:w="1204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大巴车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49-56座</w:t>
            </w:r>
          </w:p>
        </w:tc>
      </w:tr>
      <w:tr w:rsidR="00657565" w:rsidTr="006A601F">
        <w:trPr>
          <w:trHeight w:val="945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单程接或送（岛内）（等待时长0.5小时以内）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400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450</w:t>
            </w:r>
          </w:p>
        </w:tc>
      </w:tr>
      <w:tr w:rsidR="00657565" w:rsidTr="006A601F">
        <w:trPr>
          <w:trHeight w:val="945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单程接或送（岛外）（等待时长0.5小时以内）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360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400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550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半日租（岛内）4小时、50公里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450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540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600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700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750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半日租（岛外）4小时、50公里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550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600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650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750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850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日租（岛内）8小时、100公里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700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720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950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980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1100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1300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日租（岛外）8小时、100公里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840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1050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1100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1200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1350</w:t>
            </w:r>
          </w:p>
        </w:tc>
      </w:tr>
      <w:tr w:rsidR="00657565" w:rsidTr="006A601F">
        <w:trPr>
          <w:trHeight w:val="631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超公里数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（元/公里）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657565" w:rsidTr="006A601F">
        <w:trPr>
          <w:trHeight w:val="636"/>
        </w:trPr>
        <w:tc>
          <w:tcPr>
            <w:tcW w:w="1991" w:type="dxa"/>
            <w:vAlign w:val="center"/>
          </w:tcPr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超时费</w:t>
            </w:r>
          </w:p>
          <w:p w:rsidR="00657565" w:rsidRPr="003B36D4" w:rsidRDefault="00657565" w:rsidP="006A60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B36D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（元/小时）</w:t>
            </w:r>
          </w:p>
        </w:tc>
        <w:tc>
          <w:tcPr>
            <w:tcW w:w="1210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1209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1092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296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204" w:type="dxa"/>
            <w:vAlign w:val="center"/>
          </w:tcPr>
          <w:p w:rsidR="00657565" w:rsidRDefault="00657565" w:rsidP="006A601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</w:tr>
    </w:tbl>
    <w:p w:rsidR="006A601F" w:rsidRDefault="000423C1" w:rsidP="00222E9A">
      <w:pPr>
        <w:widowControl/>
        <w:spacing w:line="360" w:lineRule="auto"/>
        <w:rPr>
          <w:rFonts w:ascii="仿宋" w:eastAsia="仿宋" w:hAnsi="仿宋"/>
          <w:spacing w:val="-4"/>
          <w:sz w:val="24"/>
          <w:szCs w:val="24"/>
        </w:rPr>
      </w:pPr>
      <w:r>
        <w:rPr>
          <w:rFonts w:ascii="仿宋" w:eastAsia="仿宋" w:hAnsi="仿宋" w:hint="eastAsia"/>
          <w:spacing w:val="-4"/>
          <w:sz w:val="24"/>
          <w:szCs w:val="24"/>
        </w:rPr>
        <w:t xml:space="preserve">    </w:t>
      </w:r>
      <w:r w:rsidR="006A601F">
        <w:rPr>
          <w:rFonts w:ascii="仿宋" w:eastAsia="仿宋" w:hAnsi="仿宋" w:hint="eastAsia"/>
          <w:spacing w:val="-4"/>
          <w:sz w:val="24"/>
          <w:szCs w:val="24"/>
        </w:rPr>
        <w:t>1、</w:t>
      </w:r>
      <w:r w:rsidR="006A601F" w:rsidRPr="00E61AE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项目服务费用与服务年限：</w:t>
      </w:r>
    </w:p>
    <w:p w:rsidR="000423C1" w:rsidRDefault="006A601F" w:rsidP="006A601F">
      <w:pPr>
        <w:widowControl/>
        <w:spacing w:line="360" w:lineRule="auto"/>
        <w:ind w:firstLineChars="200" w:firstLine="464"/>
        <w:rPr>
          <w:rFonts w:ascii="仿宋" w:eastAsia="仿宋" w:hAnsi="仿宋"/>
          <w:spacing w:val="-4"/>
          <w:sz w:val="24"/>
          <w:szCs w:val="24"/>
        </w:rPr>
      </w:pPr>
      <w:r>
        <w:rPr>
          <w:rFonts w:ascii="仿宋" w:eastAsia="仿宋" w:hAnsi="仿宋" w:hint="eastAsia"/>
          <w:spacing w:val="-4"/>
          <w:sz w:val="24"/>
          <w:szCs w:val="24"/>
        </w:rPr>
        <w:t>（1）</w:t>
      </w:r>
      <w:r w:rsidR="000423C1">
        <w:rPr>
          <w:rFonts w:ascii="仿宋" w:eastAsia="仿宋" w:hAnsi="仿宋" w:hint="eastAsia"/>
          <w:spacing w:val="-4"/>
          <w:sz w:val="24"/>
          <w:szCs w:val="24"/>
        </w:rPr>
        <w:t>本项目合同期为3年。</w:t>
      </w:r>
      <w:r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本项目最高限价为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9</w:t>
      </w:r>
      <w:r w:rsidRPr="008F35E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万元。报价包括活动服务的一切相关费用。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首次报价或最后报价</w:t>
      </w:r>
      <w:r w:rsidRPr="003D4548"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 w:rsidRPr="003D45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0423C1" w:rsidRDefault="006A601F" w:rsidP="001B29CA">
      <w:pPr>
        <w:widowControl/>
        <w:spacing w:line="360" w:lineRule="auto"/>
        <w:ind w:firstLineChars="200" w:firstLine="464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spacing w:val="-4"/>
          <w:sz w:val="24"/>
          <w:szCs w:val="24"/>
        </w:rPr>
        <w:t>（2）</w:t>
      </w:r>
      <w:r w:rsidR="000423C1">
        <w:rPr>
          <w:rFonts w:ascii="仿宋" w:eastAsia="仿宋" w:hAnsi="仿宋" w:hint="eastAsia"/>
          <w:spacing w:val="-4"/>
          <w:sz w:val="24"/>
          <w:szCs w:val="24"/>
        </w:rPr>
        <w:t>投标单位</w:t>
      </w:r>
      <w:r>
        <w:rPr>
          <w:rFonts w:ascii="仿宋" w:eastAsia="仿宋" w:hAnsi="仿宋" w:hint="eastAsia"/>
          <w:spacing w:val="-4"/>
          <w:sz w:val="24"/>
          <w:szCs w:val="24"/>
        </w:rPr>
        <w:t>需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</w:t>
      </w:r>
      <w:r w:rsidRPr="006A60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出</w:t>
      </w:r>
      <w:r w:rsidRPr="006A601F">
        <w:rPr>
          <w:rFonts w:ascii="仿宋" w:eastAsia="仿宋" w:hAnsi="仿宋" w:cs="宋体" w:hint="eastAsia"/>
          <w:sz w:val="24"/>
          <w:szCs w:val="24"/>
        </w:rPr>
        <w:t>车辆租赁服务单价限价的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统一价格下浮比率，</w:t>
      </w:r>
      <w:r w:rsidR="001B13B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换算后</w:t>
      </w:r>
      <w:r w:rsidR="00BB5D79" w:rsidRPr="00BD70D8">
        <w:rPr>
          <w:rFonts w:ascii="仿宋" w:eastAsia="仿宋" w:hAnsi="仿宋"/>
          <w:sz w:val="24"/>
        </w:rPr>
        <w:t>保留小数点后的</w:t>
      </w:r>
      <w:r w:rsidR="00BB5D79" w:rsidRPr="00BD70D8">
        <w:rPr>
          <w:rFonts w:ascii="仿宋" w:eastAsia="仿宋" w:hAnsi="仿宋" w:hint="eastAsia"/>
          <w:sz w:val="24"/>
        </w:rPr>
        <w:t>两</w:t>
      </w:r>
      <w:r w:rsidR="00BB5D79" w:rsidRPr="00BD70D8">
        <w:rPr>
          <w:rFonts w:ascii="仿宋" w:eastAsia="仿宋" w:hAnsi="仿宋"/>
          <w:sz w:val="24"/>
        </w:rPr>
        <w:t>位有效数字</w:t>
      </w:r>
      <w:r w:rsidR="00BB5D79">
        <w:rPr>
          <w:rFonts w:ascii="仿宋" w:eastAsia="仿宋" w:hAnsi="仿宋" w:hint="eastAsia"/>
          <w:sz w:val="24"/>
        </w:rPr>
        <w:t>，</w:t>
      </w:r>
      <w:r w:rsidR="00BB5D7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四舍五入</w:t>
      </w:r>
      <w:r w:rsidR="00BB5D79" w:rsidRPr="00BD70D8">
        <w:rPr>
          <w:rFonts w:ascii="仿宋" w:eastAsia="仿宋" w:hAnsi="仿宋" w:hint="eastAsia"/>
          <w:sz w:val="24"/>
        </w:rPr>
        <w:t>。</w:t>
      </w:r>
      <w:r w:rsidRPr="0035111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报价包括人工费、燃油费、保险费、税费等一切相关费用。</w:t>
      </w:r>
      <w:r w:rsidRPr="00FF7D7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根据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医院用车需求提供服务，医院</w:t>
      </w:r>
      <w:r w:rsidRPr="00FF7D7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按实际发生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进行</w:t>
      </w:r>
      <w:r w:rsidRPr="00FF7D7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结算。</w:t>
      </w:r>
    </w:p>
    <w:p w:rsidR="00296AAB" w:rsidRDefault="00296AAB" w:rsidP="00F466AE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（3）</w:t>
      </w:r>
      <w:r w:rsidR="0058212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若为长途的</w:t>
      </w:r>
      <w:r w:rsidR="0058212D" w:rsidRPr="006A601F">
        <w:rPr>
          <w:rFonts w:ascii="仿宋" w:eastAsia="仿宋" w:hAnsi="仿宋" w:cs="宋体" w:hint="eastAsia"/>
          <w:sz w:val="24"/>
          <w:szCs w:val="24"/>
        </w:rPr>
        <w:t>车辆租赁服务</w:t>
      </w:r>
      <w:r w:rsidR="0058212D">
        <w:rPr>
          <w:rFonts w:ascii="仿宋" w:eastAsia="仿宋" w:hAnsi="仿宋" w:cs="宋体" w:hint="eastAsia"/>
          <w:sz w:val="24"/>
          <w:szCs w:val="24"/>
        </w:rPr>
        <w:t>，</w:t>
      </w:r>
      <w:r w:rsidR="0058212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由此产生的</w:t>
      </w:r>
      <w:r w:rsidR="00F466AE" w:rsidRPr="00F466AE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过桥过路费</w:t>
      </w:r>
      <w:r w:rsidR="0058212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58212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由采购单位承担</w:t>
      </w:r>
      <w:r w:rsidR="0058212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6A601F" w:rsidRPr="006A601F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A60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</w:t>
      </w:r>
      <w:r w:rsidRPr="006A60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单位的责任与义务：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（1）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在租赁期间拥有所租车辆的使用权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并严格遵守国家各项法律法规。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（2）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严禁指示驾驶员使用车辆进行违法活动。</w:t>
      </w:r>
    </w:p>
    <w:p w:rsidR="006A601F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（3）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严禁超限使用车辆。</w:t>
      </w:r>
    </w:p>
    <w:p w:rsidR="006A601F" w:rsidRPr="006A601F" w:rsidRDefault="006A601F" w:rsidP="006A601F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   </w:t>
      </w:r>
      <w:r w:rsidRPr="006A60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3、投标单位的责任与义务：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（1）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负责为所提供租赁车辆办理车辆损失险、第三者责任险等商业保险。</w:t>
      </w:r>
    </w:p>
    <w:p w:rsidR="006A601F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（2）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保证所提供租赁车辆拥有合法的牌照，车辆在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租赁期间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性能良好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（3）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在车辆正常使用中出现故障或异常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而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造成的事故责任及损失费用均由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承担。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（4）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如车辆在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招标单位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使用时发生事故，由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处理事故的相关事宜。</w:t>
      </w:r>
    </w:p>
    <w:p w:rsidR="006A601F" w:rsidRPr="00B74F84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（5）投标单位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提供的车辆驾驶员应着装整洁、行为端正、谈吐文明，保持车辆整洁。</w:t>
      </w:r>
    </w:p>
    <w:p w:rsidR="006A601F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（6）</w:t>
      </w:r>
      <w:r w:rsidRPr="00B74F8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如车辆在租赁期间无法正常行驶时，当次合同自动终止。</w:t>
      </w:r>
    </w:p>
    <w:p w:rsidR="006A601F" w:rsidRDefault="006A601F" w:rsidP="006A601F">
      <w:pPr>
        <w:widowControl/>
        <w:spacing w:line="360" w:lineRule="auto"/>
        <w:ind w:firstLineChars="200" w:firstLine="480"/>
        <w:rPr>
          <w:rFonts w:ascii="仿宋" w:eastAsia="仿宋" w:hAnsi="仿宋"/>
          <w:spacing w:val="-4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（7）</w:t>
      </w:r>
      <w:r w:rsidRPr="007B2B5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确定承接任务后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，中标单位</w:t>
      </w:r>
      <w:r w:rsidRPr="007B2B5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要对执行任务的驾驶员进行信誉和责任审核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Pr="007B2B5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挑选有3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年及以上符合车型的驾驶经验，</w:t>
      </w:r>
      <w:r w:rsidRPr="007B2B5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无重大及以上交通责任事故不良记录的驾驶员执行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。中标单位</w:t>
      </w:r>
      <w:r w:rsidRPr="007B2B5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对驾驶员资格审核全权负责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F0666D" w:rsidRDefault="00CE5637" w:rsidP="00E443FE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="00813E0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6E4019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="006E4019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6E4019">
        <w:rPr>
          <w:rFonts w:ascii="仿宋" w:eastAsia="仿宋" w:hAnsi="仿宋" w:cs="仿宋_GB2312" w:hint="eastAsia"/>
          <w:sz w:val="24"/>
          <w:szCs w:val="24"/>
        </w:rPr>
        <w:t>。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</w:t>
      </w:r>
      <w:r w:rsidR="006E4019">
        <w:rPr>
          <w:rFonts w:ascii="仿宋" w:eastAsia="仿宋" w:hAnsi="仿宋" w:cs="仿宋_GB2312" w:hint="eastAsia"/>
          <w:sz w:val="24"/>
          <w:szCs w:val="24"/>
        </w:rPr>
        <w:t>提供法人</w:t>
      </w:r>
      <w:r>
        <w:rPr>
          <w:rFonts w:ascii="仿宋" w:eastAsia="仿宋" w:hAnsi="仿宋" w:cs="仿宋_GB2312" w:hint="eastAsia"/>
          <w:sz w:val="24"/>
          <w:szCs w:val="24"/>
        </w:rPr>
        <w:t>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报价单</w:t>
      </w:r>
      <w:r w:rsidR="00813E01"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AA6C1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AA6C1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AA6C1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56A6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894C2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A7742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B57BE3" w:rsidRDefault="00B57BE3" w:rsidP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F0666D" w:rsidRPr="00B57BE3" w:rsidRDefault="00B57BE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217D3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8217D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A00B9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043F0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A7742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98" w:rsidRDefault="00900398" w:rsidP="00F0666D">
      <w:r>
        <w:separator/>
      </w:r>
    </w:p>
  </w:endnote>
  <w:endnote w:type="continuationSeparator" w:id="1">
    <w:p w:rsidR="00900398" w:rsidRDefault="00900398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F52AA4">
        <w:pPr>
          <w:pStyle w:val="a5"/>
          <w:jc w:val="center"/>
        </w:pPr>
        <w:r w:rsidRPr="00F52AA4">
          <w:fldChar w:fldCharType="begin"/>
        </w:r>
        <w:r w:rsidR="00CE5637">
          <w:instrText xml:space="preserve"> PAGE   \* MERGEFORMAT </w:instrText>
        </w:r>
        <w:r w:rsidRPr="00F52AA4">
          <w:fldChar w:fldCharType="separate"/>
        </w:r>
        <w:r w:rsidR="00A77420" w:rsidRPr="00A7742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98" w:rsidRDefault="00900398" w:rsidP="00F0666D">
      <w:r>
        <w:separator/>
      </w:r>
    </w:p>
  </w:footnote>
  <w:footnote w:type="continuationSeparator" w:id="1">
    <w:p w:rsidR="00900398" w:rsidRDefault="00900398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B056"/>
    <w:multiLevelType w:val="singleLevel"/>
    <w:tmpl w:val="265AB0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F17442"/>
    <w:multiLevelType w:val="hybridMultilevel"/>
    <w:tmpl w:val="0E204B6C"/>
    <w:lvl w:ilvl="0" w:tplc="8CA40FD0">
      <w:start w:val="1"/>
      <w:numFmt w:val="decimal"/>
      <w:lvlText w:val="%1、"/>
      <w:lvlJc w:val="left"/>
      <w:pPr>
        <w:ind w:left="720" w:hanging="72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255A6"/>
    <w:rsid w:val="000350F5"/>
    <w:rsid w:val="000423C1"/>
    <w:rsid w:val="00043F07"/>
    <w:rsid w:val="0004408B"/>
    <w:rsid w:val="000465B5"/>
    <w:rsid w:val="00056E33"/>
    <w:rsid w:val="00067205"/>
    <w:rsid w:val="000674B3"/>
    <w:rsid w:val="0007075D"/>
    <w:rsid w:val="000814C4"/>
    <w:rsid w:val="00083F66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3976"/>
    <w:rsid w:val="00106213"/>
    <w:rsid w:val="00106A62"/>
    <w:rsid w:val="00107247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4EC6"/>
    <w:rsid w:val="00175092"/>
    <w:rsid w:val="00176254"/>
    <w:rsid w:val="00181A00"/>
    <w:rsid w:val="00184BD2"/>
    <w:rsid w:val="00184C38"/>
    <w:rsid w:val="001933D1"/>
    <w:rsid w:val="00194D11"/>
    <w:rsid w:val="00196AFB"/>
    <w:rsid w:val="001A1166"/>
    <w:rsid w:val="001A4EFE"/>
    <w:rsid w:val="001B13B3"/>
    <w:rsid w:val="001B2740"/>
    <w:rsid w:val="001B29CA"/>
    <w:rsid w:val="001B7DD4"/>
    <w:rsid w:val="001C1DD6"/>
    <w:rsid w:val="001C2AEE"/>
    <w:rsid w:val="001C398F"/>
    <w:rsid w:val="001C640A"/>
    <w:rsid w:val="001D2227"/>
    <w:rsid w:val="001D2AE0"/>
    <w:rsid w:val="001D7913"/>
    <w:rsid w:val="001E076C"/>
    <w:rsid w:val="001E3A4E"/>
    <w:rsid w:val="001E62D6"/>
    <w:rsid w:val="001E7DFD"/>
    <w:rsid w:val="002026B3"/>
    <w:rsid w:val="00205413"/>
    <w:rsid w:val="00205688"/>
    <w:rsid w:val="00206BC3"/>
    <w:rsid w:val="002139F0"/>
    <w:rsid w:val="00216F07"/>
    <w:rsid w:val="002211A8"/>
    <w:rsid w:val="00222E9A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76B7F"/>
    <w:rsid w:val="00284514"/>
    <w:rsid w:val="00285A16"/>
    <w:rsid w:val="00291010"/>
    <w:rsid w:val="00296AAB"/>
    <w:rsid w:val="002A1A9F"/>
    <w:rsid w:val="002A257B"/>
    <w:rsid w:val="002A76E9"/>
    <w:rsid w:val="002B2061"/>
    <w:rsid w:val="002B545F"/>
    <w:rsid w:val="002C103D"/>
    <w:rsid w:val="002C2895"/>
    <w:rsid w:val="002C612E"/>
    <w:rsid w:val="002C75F1"/>
    <w:rsid w:val="002C7A15"/>
    <w:rsid w:val="002D5A91"/>
    <w:rsid w:val="002E3042"/>
    <w:rsid w:val="002F17C8"/>
    <w:rsid w:val="002F240C"/>
    <w:rsid w:val="002F46B7"/>
    <w:rsid w:val="002F5B75"/>
    <w:rsid w:val="002F647D"/>
    <w:rsid w:val="0030251D"/>
    <w:rsid w:val="00305EB7"/>
    <w:rsid w:val="00307BF2"/>
    <w:rsid w:val="0031018F"/>
    <w:rsid w:val="00311CAE"/>
    <w:rsid w:val="003254E7"/>
    <w:rsid w:val="00330BC3"/>
    <w:rsid w:val="00332F67"/>
    <w:rsid w:val="00333D15"/>
    <w:rsid w:val="00335E26"/>
    <w:rsid w:val="0034392C"/>
    <w:rsid w:val="00346EA0"/>
    <w:rsid w:val="003555AB"/>
    <w:rsid w:val="00370B79"/>
    <w:rsid w:val="00373299"/>
    <w:rsid w:val="00373A4C"/>
    <w:rsid w:val="00377AAA"/>
    <w:rsid w:val="00386B92"/>
    <w:rsid w:val="00390376"/>
    <w:rsid w:val="00393F86"/>
    <w:rsid w:val="003949EA"/>
    <w:rsid w:val="003A2B16"/>
    <w:rsid w:val="003B1764"/>
    <w:rsid w:val="003B36D4"/>
    <w:rsid w:val="003B4555"/>
    <w:rsid w:val="003C41AF"/>
    <w:rsid w:val="003C4A5B"/>
    <w:rsid w:val="003D303E"/>
    <w:rsid w:val="003D7111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1B87"/>
    <w:rsid w:val="00411BEA"/>
    <w:rsid w:val="00412BE2"/>
    <w:rsid w:val="00414B0C"/>
    <w:rsid w:val="0042185F"/>
    <w:rsid w:val="004253A1"/>
    <w:rsid w:val="00426769"/>
    <w:rsid w:val="00426788"/>
    <w:rsid w:val="00430CE9"/>
    <w:rsid w:val="00435368"/>
    <w:rsid w:val="0044145D"/>
    <w:rsid w:val="004431D8"/>
    <w:rsid w:val="00444D90"/>
    <w:rsid w:val="00450EF2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32AC"/>
    <w:rsid w:val="004D070B"/>
    <w:rsid w:val="004D143D"/>
    <w:rsid w:val="004D3BE8"/>
    <w:rsid w:val="004D7978"/>
    <w:rsid w:val="004E0300"/>
    <w:rsid w:val="004E0DDC"/>
    <w:rsid w:val="004E1BBB"/>
    <w:rsid w:val="004E4314"/>
    <w:rsid w:val="004F31AA"/>
    <w:rsid w:val="004F5BB7"/>
    <w:rsid w:val="00510CAC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66EB"/>
    <w:rsid w:val="00577DE4"/>
    <w:rsid w:val="0058212D"/>
    <w:rsid w:val="00586CA6"/>
    <w:rsid w:val="005A2561"/>
    <w:rsid w:val="005A4D17"/>
    <w:rsid w:val="005A559D"/>
    <w:rsid w:val="005B102D"/>
    <w:rsid w:val="005B44A6"/>
    <w:rsid w:val="005B6EFC"/>
    <w:rsid w:val="005B7DD4"/>
    <w:rsid w:val="005C0065"/>
    <w:rsid w:val="005C029C"/>
    <w:rsid w:val="005C279A"/>
    <w:rsid w:val="005C6AC2"/>
    <w:rsid w:val="005D6B85"/>
    <w:rsid w:val="005E14BD"/>
    <w:rsid w:val="005E2958"/>
    <w:rsid w:val="005E3074"/>
    <w:rsid w:val="005F06EA"/>
    <w:rsid w:val="00600378"/>
    <w:rsid w:val="006037B2"/>
    <w:rsid w:val="0060712E"/>
    <w:rsid w:val="0060795F"/>
    <w:rsid w:val="00611BC8"/>
    <w:rsid w:val="00614029"/>
    <w:rsid w:val="00615DAA"/>
    <w:rsid w:val="006161E8"/>
    <w:rsid w:val="0062162B"/>
    <w:rsid w:val="006224A4"/>
    <w:rsid w:val="00632D9D"/>
    <w:rsid w:val="00634547"/>
    <w:rsid w:val="00636E6D"/>
    <w:rsid w:val="00640246"/>
    <w:rsid w:val="00645B80"/>
    <w:rsid w:val="006467BE"/>
    <w:rsid w:val="00657565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06FA"/>
    <w:rsid w:val="006A0C6B"/>
    <w:rsid w:val="006A132F"/>
    <w:rsid w:val="006A601F"/>
    <w:rsid w:val="006B3865"/>
    <w:rsid w:val="006C483F"/>
    <w:rsid w:val="006C7770"/>
    <w:rsid w:val="006D03EE"/>
    <w:rsid w:val="006D1ECB"/>
    <w:rsid w:val="006D2852"/>
    <w:rsid w:val="006E1B8A"/>
    <w:rsid w:val="006E4019"/>
    <w:rsid w:val="006E7296"/>
    <w:rsid w:val="006E7CE9"/>
    <w:rsid w:val="006F54BB"/>
    <w:rsid w:val="006F62EB"/>
    <w:rsid w:val="006F7437"/>
    <w:rsid w:val="00701872"/>
    <w:rsid w:val="00703E65"/>
    <w:rsid w:val="0070746A"/>
    <w:rsid w:val="00712155"/>
    <w:rsid w:val="0071389D"/>
    <w:rsid w:val="007143A5"/>
    <w:rsid w:val="00726A50"/>
    <w:rsid w:val="00727919"/>
    <w:rsid w:val="0073770E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41D9"/>
    <w:rsid w:val="007B7D9D"/>
    <w:rsid w:val="007B7E55"/>
    <w:rsid w:val="007C00C5"/>
    <w:rsid w:val="007C4EF1"/>
    <w:rsid w:val="007D2B3D"/>
    <w:rsid w:val="007D36AA"/>
    <w:rsid w:val="007D419E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0523"/>
    <w:rsid w:val="008217D3"/>
    <w:rsid w:val="0082199D"/>
    <w:rsid w:val="00826A94"/>
    <w:rsid w:val="0082740E"/>
    <w:rsid w:val="008311BD"/>
    <w:rsid w:val="008364B8"/>
    <w:rsid w:val="00836D15"/>
    <w:rsid w:val="008503B5"/>
    <w:rsid w:val="00851924"/>
    <w:rsid w:val="00852AFA"/>
    <w:rsid w:val="008546AA"/>
    <w:rsid w:val="00862FA5"/>
    <w:rsid w:val="008673FE"/>
    <w:rsid w:val="0087054C"/>
    <w:rsid w:val="0087269E"/>
    <w:rsid w:val="00882B3E"/>
    <w:rsid w:val="00884AE9"/>
    <w:rsid w:val="00884D37"/>
    <w:rsid w:val="0088517E"/>
    <w:rsid w:val="0088524F"/>
    <w:rsid w:val="008852AF"/>
    <w:rsid w:val="00887F72"/>
    <w:rsid w:val="0089342E"/>
    <w:rsid w:val="00894C29"/>
    <w:rsid w:val="008951E4"/>
    <w:rsid w:val="008A679E"/>
    <w:rsid w:val="008B3891"/>
    <w:rsid w:val="008B55A0"/>
    <w:rsid w:val="008B7D96"/>
    <w:rsid w:val="008C1F4B"/>
    <w:rsid w:val="008C5F28"/>
    <w:rsid w:val="008D114B"/>
    <w:rsid w:val="008D747E"/>
    <w:rsid w:val="008D7B56"/>
    <w:rsid w:val="008E6431"/>
    <w:rsid w:val="008F14E4"/>
    <w:rsid w:val="008F16D2"/>
    <w:rsid w:val="008F797D"/>
    <w:rsid w:val="008F7DE5"/>
    <w:rsid w:val="0090016D"/>
    <w:rsid w:val="00900398"/>
    <w:rsid w:val="00900BFB"/>
    <w:rsid w:val="0090107C"/>
    <w:rsid w:val="00903F21"/>
    <w:rsid w:val="00904F43"/>
    <w:rsid w:val="00907940"/>
    <w:rsid w:val="00910830"/>
    <w:rsid w:val="009139B5"/>
    <w:rsid w:val="00917AAB"/>
    <w:rsid w:val="009204B3"/>
    <w:rsid w:val="0093655D"/>
    <w:rsid w:val="00936613"/>
    <w:rsid w:val="00946100"/>
    <w:rsid w:val="0095140B"/>
    <w:rsid w:val="009559D4"/>
    <w:rsid w:val="00956A6B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95422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0B9B"/>
    <w:rsid w:val="00A0212D"/>
    <w:rsid w:val="00A07DB1"/>
    <w:rsid w:val="00A10955"/>
    <w:rsid w:val="00A2060A"/>
    <w:rsid w:val="00A35ACC"/>
    <w:rsid w:val="00A4053F"/>
    <w:rsid w:val="00A413D1"/>
    <w:rsid w:val="00A43521"/>
    <w:rsid w:val="00A462CC"/>
    <w:rsid w:val="00A46651"/>
    <w:rsid w:val="00A56B05"/>
    <w:rsid w:val="00A57E4C"/>
    <w:rsid w:val="00A61979"/>
    <w:rsid w:val="00A6638D"/>
    <w:rsid w:val="00A73C86"/>
    <w:rsid w:val="00A77420"/>
    <w:rsid w:val="00A81DC5"/>
    <w:rsid w:val="00A949CA"/>
    <w:rsid w:val="00AA5688"/>
    <w:rsid w:val="00AA6C1C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57BE3"/>
    <w:rsid w:val="00B600B9"/>
    <w:rsid w:val="00B60F6C"/>
    <w:rsid w:val="00B64DBF"/>
    <w:rsid w:val="00B668D1"/>
    <w:rsid w:val="00B719A7"/>
    <w:rsid w:val="00B7286F"/>
    <w:rsid w:val="00B74DF2"/>
    <w:rsid w:val="00B906AC"/>
    <w:rsid w:val="00B92F5B"/>
    <w:rsid w:val="00BA566D"/>
    <w:rsid w:val="00BA7837"/>
    <w:rsid w:val="00BB11BD"/>
    <w:rsid w:val="00BB1BFC"/>
    <w:rsid w:val="00BB270A"/>
    <w:rsid w:val="00BB5D79"/>
    <w:rsid w:val="00BC2E4D"/>
    <w:rsid w:val="00BC4319"/>
    <w:rsid w:val="00BD18F0"/>
    <w:rsid w:val="00BD327A"/>
    <w:rsid w:val="00BD66C9"/>
    <w:rsid w:val="00BD7FDB"/>
    <w:rsid w:val="00BF0C27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27A3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0CBD"/>
    <w:rsid w:val="00CC2715"/>
    <w:rsid w:val="00CC4BF6"/>
    <w:rsid w:val="00CC753D"/>
    <w:rsid w:val="00CE2295"/>
    <w:rsid w:val="00CE5637"/>
    <w:rsid w:val="00D013A9"/>
    <w:rsid w:val="00D029ED"/>
    <w:rsid w:val="00D04871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56779"/>
    <w:rsid w:val="00D70FB2"/>
    <w:rsid w:val="00D72FD4"/>
    <w:rsid w:val="00D749B5"/>
    <w:rsid w:val="00D808BC"/>
    <w:rsid w:val="00D81C6A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03E3"/>
    <w:rsid w:val="00DC3D7C"/>
    <w:rsid w:val="00DC6685"/>
    <w:rsid w:val="00DD1F4F"/>
    <w:rsid w:val="00DD2EDC"/>
    <w:rsid w:val="00DE0195"/>
    <w:rsid w:val="00DE08B5"/>
    <w:rsid w:val="00DE1262"/>
    <w:rsid w:val="00DE4044"/>
    <w:rsid w:val="00DE6423"/>
    <w:rsid w:val="00DE7611"/>
    <w:rsid w:val="00DE7EC6"/>
    <w:rsid w:val="00DF37F6"/>
    <w:rsid w:val="00DF5A53"/>
    <w:rsid w:val="00DF5F01"/>
    <w:rsid w:val="00DF64BE"/>
    <w:rsid w:val="00DF6E2C"/>
    <w:rsid w:val="00E0265A"/>
    <w:rsid w:val="00E05131"/>
    <w:rsid w:val="00E06EC9"/>
    <w:rsid w:val="00E141C9"/>
    <w:rsid w:val="00E20E8E"/>
    <w:rsid w:val="00E26E9B"/>
    <w:rsid w:val="00E27FD4"/>
    <w:rsid w:val="00E3772D"/>
    <w:rsid w:val="00E427D9"/>
    <w:rsid w:val="00E443FE"/>
    <w:rsid w:val="00E455DB"/>
    <w:rsid w:val="00E539EC"/>
    <w:rsid w:val="00E548F1"/>
    <w:rsid w:val="00E57F1B"/>
    <w:rsid w:val="00E61AEF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EF3CFC"/>
    <w:rsid w:val="00F02CE2"/>
    <w:rsid w:val="00F03CC1"/>
    <w:rsid w:val="00F049F5"/>
    <w:rsid w:val="00F0666D"/>
    <w:rsid w:val="00F10038"/>
    <w:rsid w:val="00F11924"/>
    <w:rsid w:val="00F11D3B"/>
    <w:rsid w:val="00F132A8"/>
    <w:rsid w:val="00F139E3"/>
    <w:rsid w:val="00F14DEC"/>
    <w:rsid w:val="00F17456"/>
    <w:rsid w:val="00F17522"/>
    <w:rsid w:val="00F223CF"/>
    <w:rsid w:val="00F353E5"/>
    <w:rsid w:val="00F37729"/>
    <w:rsid w:val="00F40AF7"/>
    <w:rsid w:val="00F44857"/>
    <w:rsid w:val="00F466AE"/>
    <w:rsid w:val="00F46A0E"/>
    <w:rsid w:val="00F50AB3"/>
    <w:rsid w:val="00F52AA4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58A8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  <o:rules v:ext="edit">
        <o:r id="V:Rule2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uiPriority w:val="99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E61AEF"/>
    <w:rPr>
      <w:b/>
      <w:bCs/>
      <w:kern w:val="2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E61AEF"/>
    <w:rPr>
      <w:color w:val="0000FF"/>
      <w:u w:val="single"/>
    </w:rPr>
  </w:style>
  <w:style w:type="paragraph" w:customStyle="1" w:styleId="null3">
    <w:name w:val="null3"/>
    <w:autoRedefine/>
    <w:hidden/>
    <w:qFormat/>
    <w:rsid w:val="00726A50"/>
    <w:pPr>
      <w:jc w:val="center"/>
    </w:pPr>
    <w:rPr>
      <w:rFonts w:ascii="仿宋" w:eastAsia="仿宋" w:hAnsi="仿宋" w:cs="仿宋"/>
      <w:b/>
      <w:sz w:val="24"/>
      <w:szCs w:val="24"/>
    </w:rPr>
  </w:style>
  <w:style w:type="table" w:customStyle="1" w:styleId="TableNormal">
    <w:name w:val="Table Normal"/>
    <w:semiHidden/>
    <w:unhideWhenUsed/>
    <w:qFormat/>
    <w:rsid w:val="00B7286F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728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4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325</cp:revision>
  <cp:lastPrinted>2024-09-23T02:36:00Z</cp:lastPrinted>
  <dcterms:created xsi:type="dcterms:W3CDTF">2021-11-03T01:57:00Z</dcterms:created>
  <dcterms:modified xsi:type="dcterms:W3CDTF">2024-11-25T03:23:00Z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