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D4F8">
      <w:pPr>
        <w:pStyle w:val="2"/>
        <w:numPr>
          <w:ilvl w:val="0"/>
          <w:numId w:val="0"/>
        </w:numPr>
        <w:ind w:right="240"/>
      </w:pPr>
      <w:r>
        <w:rPr>
          <w:rFonts w:hint="eastAsia"/>
        </w:rPr>
        <w:t>多功能自助机项目需求单</w:t>
      </w:r>
    </w:p>
    <w:p w14:paraId="4B490F5A">
      <w:pPr>
        <w:pStyle w:val="3"/>
        <w:rPr>
          <w:kern w:val="0"/>
        </w:rPr>
      </w:pPr>
      <w:bookmarkStart w:id="0" w:name="_Toc492983748"/>
      <w:r>
        <w:rPr>
          <w:rFonts w:hint="eastAsia"/>
          <w:kern w:val="0"/>
        </w:rPr>
        <w:t>自助机功能列表</w:t>
      </w:r>
      <w:bookmarkEnd w:id="0"/>
    </w:p>
    <w:p w14:paraId="3AEE8680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身份识别</w:t>
      </w:r>
    </w:p>
    <w:p w14:paraId="428AC0A3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支持多种身份识别：支持实体卡读卡、支持医保电子凭证。</w:t>
      </w:r>
    </w:p>
    <w:p w14:paraId="1BA18A65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支持通过人脸扫描完成身份识别。</w:t>
      </w:r>
    </w:p>
    <w:p w14:paraId="5992B799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与集成平台解码接口对接，支持多码融合(电子健康卡、院内虚拟卡等)。</w:t>
      </w:r>
    </w:p>
    <w:p w14:paraId="10B304BD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支持医保亲情码：所有支持电子码的业务，都要支持使用医保亲情码进行身份识别和业务办理。</w:t>
      </w:r>
    </w:p>
    <w:p w14:paraId="747159C9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注册建档</w:t>
      </w:r>
    </w:p>
    <w:p w14:paraId="05A77424">
      <w:pPr>
        <w:ind w:left="240" w:right="240" w:firstLine="48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系统支持使用全国各地医社保实体卡、医保电子凭证、电子健康卡等方式来注册</w:t>
      </w:r>
      <w:r>
        <w:rPr>
          <w:rFonts w:hint="eastAsia" w:ascii="宋体" w:eastAsia="宋体" w:cs="宋体"/>
          <w:kern w:val="0"/>
          <w:szCs w:val="24"/>
        </w:rPr>
        <w:t>建档</w:t>
      </w:r>
      <w:r>
        <w:rPr>
          <w:rFonts w:hint="eastAsia"/>
          <w:kern w:val="0"/>
        </w:rPr>
        <w:t>。</w:t>
      </w:r>
    </w:p>
    <w:p w14:paraId="42449468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自助充值(带摄像功能)</w:t>
      </w:r>
    </w:p>
    <w:p w14:paraId="1BC180F2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支持通过现金、银行卡、微信、支付宝等多渠道向个人门诊/住院预交金账户充值消费，</w:t>
      </w:r>
      <w:r>
        <w:rPr>
          <w:rFonts w:hint="eastAsia"/>
          <w:kern w:val="0"/>
          <w:highlight w:val="yellow"/>
        </w:rPr>
        <w:t>交易过程须保证安全性，必须具备摄像功能，影像资料保存一个月以备查。操作结束后自助设备将打印相应的小票凭单。</w:t>
      </w:r>
    </w:p>
    <w:p w14:paraId="4DC52957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*预交金退款</w:t>
      </w:r>
    </w:p>
    <w:p w14:paraId="27DCEDCA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kern w:val="0"/>
        </w:rPr>
      </w:pPr>
      <w:r>
        <w:rPr>
          <w:rFonts w:hint="eastAsia"/>
          <w:kern w:val="0"/>
        </w:rPr>
        <w:t>支持门诊/住院预交金退款的原路退款。</w:t>
      </w:r>
    </w:p>
    <w:p w14:paraId="3CC78888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kern w:val="0"/>
        </w:rPr>
      </w:pPr>
      <w:r>
        <w:rPr>
          <w:rFonts w:hint="eastAsia"/>
          <w:kern w:val="0"/>
        </w:rPr>
        <w:t>如果无法原路退款的，要支持预交金退回银行卡的申请和退款审核。</w:t>
      </w:r>
    </w:p>
    <w:p w14:paraId="67F1CB9B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rFonts w:ascii="宋体" w:eastAsia="宋体" w:cs="宋体"/>
          <w:kern w:val="0"/>
          <w:szCs w:val="24"/>
        </w:rPr>
      </w:pPr>
    </w:p>
    <w:p w14:paraId="54C20CAF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余额查询</w:t>
      </w:r>
    </w:p>
    <w:p w14:paraId="0CB44388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查询就诊卡内门诊预缴金和住院预交金余额。</w:t>
      </w:r>
    </w:p>
    <w:p w14:paraId="3E62D220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门诊预约</w:t>
      </w:r>
      <w:r>
        <w:rPr>
          <w:rFonts w:ascii="Trebuchet MS" w:hAnsi="Trebuchet MS" w:eastAsia="宋体" w:cs="Trebuchet MS"/>
          <w:kern w:val="0"/>
          <w:szCs w:val="24"/>
        </w:rPr>
        <w:t>/</w:t>
      </w:r>
      <w:r>
        <w:rPr>
          <w:rFonts w:hint="eastAsia" w:ascii="宋体" w:eastAsia="宋体" w:cs="宋体"/>
          <w:kern w:val="0"/>
          <w:szCs w:val="24"/>
        </w:rPr>
        <w:t>挂号</w:t>
      </w:r>
    </w:p>
    <w:p w14:paraId="6B9E8A59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系统可根据医院需要进行普通门诊、专家门诊、急诊的分类，并进行剩余号的显示。患者操作过程将进行科室、日期、时间段、医生等信息的选择，输入必要的信息，并进行电子身份识别验证。操作结束后自助设备打印相应的凭单，可进行短信通知。</w:t>
      </w:r>
    </w:p>
    <w:p w14:paraId="7BEF30DE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预约取号、查询、取消</w:t>
      </w:r>
    </w:p>
    <w:p w14:paraId="660E6740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系统支持不同预约渠道的患者通过自助设备进行确认取号，查询预约</w:t>
      </w:r>
      <w:r>
        <w:rPr>
          <w:rFonts w:hint="eastAsia" w:ascii="Trebuchet MS" w:hAnsi="Trebuchet MS" w:cs="Trebuchet MS"/>
          <w:kern w:val="0"/>
        </w:rPr>
        <w:t>，</w:t>
      </w:r>
      <w:r>
        <w:rPr>
          <w:rFonts w:hint="eastAsia"/>
          <w:kern w:val="0"/>
        </w:rPr>
        <w:t>取消预约操作。</w:t>
      </w:r>
    </w:p>
    <w:p w14:paraId="08AB6A40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医技预约和检查签到</w:t>
      </w:r>
    </w:p>
    <w:p w14:paraId="6C661031">
      <w:pPr>
        <w:ind w:left="460" w:leftChars="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  <w:highlight w:val="yellow"/>
        </w:rPr>
        <w:t>对接院内集成平台和统一医技预约系统，支持单项预约和多项目组合预约。签到也要支持单项目签到和组合签到。</w:t>
      </w:r>
    </w:p>
    <w:p w14:paraId="40765AE6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门诊签到和排队</w:t>
      </w:r>
      <w:r>
        <w:rPr>
          <w:rFonts w:hint="eastAsia"/>
          <w:kern w:val="0"/>
        </w:rPr>
        <w:t>确认</w:t>
      </w:r>
    </w:p>
    <w:p w14:paraId="00B7A37E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支持</w:t>
      </w:r>
      <w:r>
        <w:rPr>
          <w:rFonts w:hint="eastAsia" w:ascii="宋体" w:eastAsia="宋体" w:cs="宋体"/>
          <w:kern w:val="0"/>
          <w:szCs w:val="24"/>
        </w:rPr>
        <w:t>门诊签到和</w:t>
      </w:r>
      <w:r>
        <w:rPr>
          <w:rFonts w:hint="eastAsia"/>
          <w:kern w:val="0"/>
        </w:rPr>
        <w:t>二次排队功能。支持正常患者预约后，需要到诊区或者自助机签到进行刷卡排队确认。对于复诊患者，支持重新排队取号。</w:t>
      </w:r>
    </w:p>
    <w:p w14:paraId="7C131D6D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检验条码打印和签到排队。</w:t>
      </w:r>
    </w:p>
    <w:p w14:paraId="02419FFB">
      <w:pPr>
        <w:pStyle w:val="18"/>
        <w:ind w:left="704" w:leftChars="0" w:right="240" w:firstLine="0" w:firstLineChars="0"/>
        <w:rPr>
          <w:kern w:val="0"/>
        </w:rPr>
      </w:pPr>
      <w:r>
        <w:rPr>
          <w:rFonts w:hint="eastAsia"/>
        </w:rPr>
        <w:t>支持打印检验项目的条码。已</w:t>
      </w:r>
      <w:r>
        <w:rPr>
          <w:rFonts w:hint="eastAsia"/>
          <w:kern w:val="0"/>
        </w:rPr>
        <w:t>打印条码的患者，自动签到排队。</w:t>
      </w:r>
      <w:r>
        <w:rPr>
          <w:kern w:val="0"/>
        </w:rPr>
        <w:br w:type="textWrapping"/>
      </w:r>
      <w:r>
        <w:rPr>
          <w:rFonts w:hint="eastAsia"/>
          <w:kern w:val="0"/>
        </w:rPr>
        <w:t>支持非当日条码重新签到排队。</w:t>
      </w:r>
    </w:p>
    <w:p w14:paraId="52FD17EC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门诊结算</w:t>
      </w:r>
    </w:p>
    <w:p w14:paraId="2DB14ACB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门诊结算可分参保患者和非参保患者。患者在取药或做医技检查前需要进行医疗费用结算，操作过程简便：非参保患者无需与医保交互，所有费用直接从预缴金账户或银行卡消费结算。操作结束后自助设备将打印相应的凭</w:t>
      </w:r>
    </w:p>
    <w:p w14:paraId="039B4084">
      <w:pPr>
        <w:ind w:left="240" w:right="240" w:firstLine="48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*结算必须支持已开通联网业务的省内异地医保卡、全国异地医保卡。</w:t>
      </w:r>
    </w:p>
    <w:p w14:paraId="3DEF7306">
      <w:pPr>
        <w:ind w:left="240" w:right="240" w:firstLine="480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*结算时，患者可以选择指定药品/项目进行结算。</w:t>
      </w:r>
    </w:p>
    <w:p w14:paraId="7A5C0884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当日已扣费未结算的费用，次日以及之后自助机可以一并结算。</w:t>
      </w:r>
    </w:p>
    <w:p w14:paraId="24AEA6C1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当日未扣费的项目，次日以及之后自助机可以提示是否结算。</w:t>
      </w:r>
    </w:p>
    <w:p w14:paraId="624BE072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入院办理</w:t>
      </w:r>
    </w:p>
    <w:p w14:paraId="6BC45E91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支持入院患者个人信息登记。</w:t>
      </w:r>
    </w:p>
    <w:p w14:paraId="39D93F43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支持住院登记和撤销住院登记。</w:t>
      </w:r>
    </w:p>
    <w:p w14:paraId="4B44FF51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支持医保入院登记和撤销医保住院登记。</w:t>
      </w:r>
    </w:p>
    <w:p w14:paraId="1BB4C646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医保卡异常、停保等特殊情况提示到窗口人工处理。</w:t>
      </w:r>
    </w:p>
    <w:p w14:paraId="55F77F2B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住院消息推送医院公众号。</w:t>
      </w:r>
    </w:p>
    <w:p w14:paraId="3767B74C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color w:val="FF0000"/>
          <w:kern w:val="0"/>
          <w:szCs w:val="24"/>
          <w:highlight w:val="yellow"/>
        </w:rPr>
      </w:pPr>
      <w:r>
        <w:rPr>
          <w:rFonts w:hint="eastAsia" w:ascii="宋体" w:eastAsia="宋体" w:cs="宋体"/>
          <w:color w:val="FF0000"/>
          <w:kern w:val="0"/>
          <w:szCs w:val="24"/>
          <w:highlight w:val="yellow"/>
        </w:rPr>
        <w:t>*住院结算</w:t>
      </w:r>
    </w:p>
    <w:p w14:paraId="7623C130">
      <w:pPr>
        <w:pStyle w:val="18"/>
        <w:autoSpaceDE w:val="0"/>
        <w:autoSpaceDN w:val="0"/>
        <w:adjustRightInd w:val="0"/>
        <w:spacing w:line="240" w:lineRule="auto"/>
        <w:ind w:left="84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支持通过自助机办理自费/医保患者出院结算和出院服务。</w:t>
      </w:r>
    </w:p>
    <w:p w14:paraId="3B83B624">
      <w:pPr>
        <w:pStyle w:val="18"/>
        <w:autoSpaceDE w:val="0"/>
        <w:autoSpaceDN w:val="0"/>
        <w:adjustRightInd w:val="0"/>
        <w:spacing w:line="240" w:lineRule="auto"/>
        <w:ind w:left="84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结算预交金不足：支持通过微信/支付宝等渠道补缴差额部分。</w:t>
      </w:r>
    </w:p>
    <w:p w14:paraId="1340D64E">
      <w:pPr>
        <w:pStyle w:val="18"/>
        <w:autoSpaceDE w:val="0"/>
        <w:autoSpaceDN w:val="0"/>
        <w:adjustRightInd w:val="0"/>
        <w:spacing w:line="240" w:lineRule="auto"/>
        <w:ind w:left="84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结算后预交金余额：支持原路退款，无法原路退款的提示去窗口办理。</w:t>
      </w:r>
    </w:p>
    <w:p w14:paraId="4B7FDD3A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kern w:val="0"/>
        </w:rPr>
      </w:pPr>
      <w:r>
        <w:rPr>
          <w:rFonts w:hint="eastAsia"/>
          <w:kern w:val="0"/>
        </w:rPr>
        <w:t>支持住院待结算费用查询。</w:t>
      </w:r>
    </w:p>
    <w:p w14:paraId="01212830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>
        <w:rPr>
          <w:rFonts w:hint="eastAsia" w:ascii="宋体" w:eastAsia="宋体" w:cs="宋体"/>
          <w:kern w:val="0"/>
          <w:szCs w:val="24"/>
        </w:rPr>
        <w:t>住院未结费用上传。</w:t>
      </w:r>
    </w:p>
    <w:p w14:paraId="5D3AC589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>
        <w:rPr>
          <w:rFonts w:hint="eastAsia" w:ascii="宋体" w:eastAsia="宋体" w:cs="宋体"/>
          <w:kern w:val="0"/>
          <w:szCs w:val="24"/>
        </w:rPr>
        <w:t>住院已传费用撤销。</w:t>
      </w:r>
    </w:p>
    <w:p w14:paraId="063A5155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>
        <w:rPr>
          <w:rFonts w:hint="eastAsia" w:ascii="宋体" w:eastAsia="宋体" w:cs="宋体"/>
          <w:kern w:val="0"/>
          <w:szCs w:val="24"/>
        </w:rPr>
        <w:t>在院信息更新，医保出院登记服务。</w:t>
      </w:r>
    </w:p>
    <w:p w14:paraId="092C7420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>
        <w:rPr>
          <w:rFonts w:hint="eastAsia" w:ascii="宋体" w:eastAsia="宋体" w:cs="宋体"/>
          <w:kern w:val="0"/>
          <w:szCs w:val="24"/>
        </w:rPr>
        <w:t>医保预结算结果查询。</w:t>
      </w:r>
    </w:p>
    <w:p w14:paraId="4162950C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支持单边账时</w:t>
      </w:r>
      <w:r>
        <w:rPr>
          <w:rFonts w:hint="eastAsia" w:ascii="宋体" w:eastAsia="宋体" w:cs="宋体"/>
          <w:kern w:val="0"/>
          <w:szCs w:val="24"/>
        </w:rPr>
        <w:t>撤销已结算费用。</w:t>
      </w:r>
    </w:p>
    <w:p w14:paraId="183FC067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>
        <w:rPr>
          <w:rFonts w:hint="eastAsia" w:ascii="宋体" w:eastAsia="宋体" w:cs="宋体"/>
          <w:kern w:val="0"/>
          <w:szCs w:val="24"/>
        </w:rPr>
        <w:t>出院结算结果信息查询。</w:t>
      </w:r>
    </w:p>
    <w:p w14:paraId="099FA37E">
      <w:pPr>
        <w:autoSpaceDE w:val="0"/>
        <w:autoSpaceDN w:val="0"/>
        <w:adjustRightInd w:val="0"/>
        <w:spacing w:line="240" w:lineRule="auto"/>
        <w:ind w:left="704" w:leftChars="0" w:right="240" w:firstLine="136" w:firstLineChars="0"/>
        <w:rPr>
          <w:rFonts w:ascii="宋体" w:eastAsia="宋体" w:cs="宋体"/>
          <w:kern w:val="0"/>
          <w:szCs w:val="24"/>
        </w:rPr>
      </w:pPr>
      <w:r>
        <w:rPr>
          <w:rFonts w:hint="eastAsia"/>
          <w:kern w:val="0"/>
        </w:rPr>
        <w:t>支持</w:t>
      </w:r>
      <w:r>
        <w:rPr>
          <w:rFonts w:hint="eastAsia" w:ascii="宋体" w:eastAsia="宋体" w:cs="宋体"/>
          <w:kern w:val="0"/>
          <w:szCs w:val="24"/>
        </w:rPr>
        <w:t>结算成功消息推送医院公众号。</w:t>
      </w:r>
    </w:p>
    <w:p w14:paraId="3C92EAD0">
      <w:pPr>
        <w:pStyle w:val="18"/>
        <w:autoSpaceDE w:val="0"/>
        <w:autoSpaceDN w:val="0"/>
        <w:adjustRightInd w:val="0"/>
        <w:spacing w:line="240" w:lineRule="auto"/>
        <w:ind w:left="840" w:leftChars="0" w:right="240" w:firstLine="0" w:firstLineChars="0"/>
        <w:rPr>
          <w:rFonts w:ascii="宋体" w:eastAsia="宋体" w:cs="宋体"/>
          <w:kern w:val="0"/>
          <w:szCs w:val="24"/>
        </w:rPr>
      </w:pPr>
    </w:p>
    <w:p w14:paraId="364A6B5C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费用明细上传</w:t>
      </w:r>
    </w:p>
    <w:p w14:paraId="17AF6F63">
      <w:pPr>
        <w:pStyle w:val="18"/>
        <w:autoSpaceDE w:val="0"/>
        <w:autoSpaceDN w:val="0"/>
        <w:adjustRightInd w:val="0"/>
        <w:spacing w:line="240" w:lineRule="auto"/>
        <w:ind w:left="84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根据监管要求，将门诊/住院费用明细上传给指定机构。</w:t>
      </w:r>
    </w:p>
    <w:p w14:paraId="78459EFD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排队取药</w:t>
      </w:r>
    </w:p>
    <w:p w14:paraId="3D18E55E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患者在自助结算完成后，自动进行取药排队，并打印凭单信息。</w:t>
      </w:r>
    </w:p>
    <w:p w14:paraId="38F6B653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支持扣费取药排队，当HIS无法结算时，支持先扣费取药排队，后续再补结算。</w:t>
      </w:r>
    </w:p>
    <w:p w14:paraId="167134D8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病历打印</w:t>
      </w:r>
    </w:p>
    <w:p w14:paraId="1B024914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与集成平台对接，支持打印电子病历；</w:t>
      </w:r>
    </w:p>
    <w:p w14:paraId="1413A376">
      <w:pPr>
        <w:pStyle w:val="18"/>
        <w:autoSpaceDE w:val="0"/>
        <w:autoSpaceDN w:val="0"/>
        <w:adjustRightInd w:val="0"/>
        <w:spacing w:line="240" w:lineRule="auto"/>
        <w:ind w:left="660" w:leftChars="0" w:right="240" w:firstLine="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需要支持打印次数限制，超过限制次数，提示禁止打印。</w:t>
      </w:r>
    </w:p>
    <w:p w14:paraId="67342233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电子发票副本打印</w:t>
      </w:r>
    </w:p>
    <w:p w14:paraId="27C72265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先从电子票据系统下载PDF版电子发票文件，然后在自助设备使用A4/A5纸张打印电子发票。</w:t>
      </w:r>
    </w:p>
    <w:p w14:paraId="2CE29B0C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报告打印</w:t>
      </w:r>
    </w:p>
    <w:p w14:paraId="2EB3ED9D">
      <w:pPr>
        <w:ind w:left="240" w:right="240" w:firstLine="480"/>
        <w:rPr>
          <w:kern w:val="0"/>
        </w:rPr>
      </w:pPr>
      <w:r>
        <w:rPr>
          <w:rFonts w:hint="eastAsia"/>
          <w:kern w:val="0"/>
        </w:rPr>
        <w:t>患者完成检查、检验项目后，可在自助设备上查询报告状态和信息，根据需要打印已出结果的报告。系统支持不同种类检查结果的分类和归集，对打印次数、打印费用进行设定。</w:t>
      </w:r>
    </w:p>
    <w:p w14:paraId="68214440">
      <w:pPr>
        <w:ind w:left="720" w:leftChars="0" w:right="240" w:firstLine="0" w:firstLineChars="0"/>
        <w:rPr>
          <w:color w:val="FF0000"/>
          <w:kern w:val="0"/>
        </w:rPr>
      </w:pPr>
      <w:r>
        <w:rPr>
          <w:rFonts w:hint="eastAsia"/>
          <w:color w:val="FF0000"/>
          <w:kern w:val="0"/>
          <w:highlight w:val="yellow"/>
        </w:rPr>
        <w:t>* 报告类型包括： 检验报告、放射科检查报告、B超报告、心电图报告、脑电图报告、病理报告、内镜报告、PACS报告及将来医院发展中可能产生的新报告类型。</w:t>
      </w:r>
    </w:p>
    <w:p w14:paraId="772B8778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ascii="宋体" w:eastAsia="宋体" w:cs="宋体"/>
          <w:kern w:val="0"/>
          <w:szCs w:val="24"/>
        </w:rPr>
      </w:pPr>
      <w:r>
        <w:rPr>
          <w:rFonts w:hint="eastAsia" w:ascii="宋体" w:eastAsia="宋体" w:cs="宋体"/>
          <w:kern w:val="0"/>
          <w:szCs w:val="24"/>
        </w:rPr>
        <w:t>清单打印</w:t>
      </w:r>
    </w:p>
    <w:p w14:paraId="3B619954">
      <w:pPr>
        <w:ind w:left="240" w:right="240" w:firstLine="480"/>
      </w:pPr>
      <w:r>
        <w:rPr>
          <w:rFonts w:hint="eastAsia"/>
          <w:kern w:val="0"/>
        </w:rPr>
        <w:t>患者自助查询个人门诊费用清单、住院费用清单，住院汇总清单等，按需选择所需的清单明细进行打印。</w:t>
      </w:r>
      <w:r>
        <w:rPr>
          <w:rFonts w:hint="eastAsia"/>
          <w:color w:val="FF0000"/>
          <w:kern w:val="0"/>
        </w:rPr>
        <w:t>系统支持免费打印次数限制、超出限制补打需收取工本费的设定。</w:t>
      </w:r>
    </w:p>
    <w:p w14:paraId="4C381FD5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  <w:rPr>
          <w:rFonts w:hint="eastAsia"/>
        </w:rPr>
      </w:pPr>
      <w:r>
        <w:rPr>
          <w:rFonts w:hint="eastAsia"/>
        </w:rPr>
        <w:t>证明类文档打印</w:t>
      </w:r>
    </w:p>
    <w:p w14:paraId="79E2C951">
      <w:pPr>
        <w:pStyle w:val="18"/>
        <w:autoSpaceDE w:val="0"/>
        <w:autoSpaceDN w:val="0"/>
        <w:adjustRightInd w:val="0"/>
        <w:spacing w:line="240" w:lineRule="auto"/>
        <w:ind w:left="840" w:leftChars="0" w:right="240" w:firstLine="0" w:firstLineChars="0"/>
        <w:rPr>
          <w:rFonts w:hint="eastAsia"/>
        </w:rPr>
      </w:pPr>
      <w:r>
        <w:rPr>
          <w:rFonts w:hint="eastAsia"/>
        </w:rPr>
        <w:t>支持彩色打印已经过电子签名带有电子签章的文档。</w:t>
      </w:r>
    </w:p>
    <w:p w14:paraId="0747CB37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满意度评价</w:t>
      </w:r>
    </w:p>
    <w:p w14:paraId="64A7CA6F">
      <w:pPr>
        <w:ind w:left="240" w:right="240" w:firstLine="480"/>
      </w:pPr>
      <w:r>
        <w:rPr>
          <w:rFonts w:hint="eastAsia"/>
          <w:highlight w:val="yellow"/>
        </w:rPr>
        <w:t>就诊完成后，患者可以对就诊流程进行满意度评价。能够根据医院需求定制满意度评价页面内容。</w:t>
      </w:r>
      <w:r>
        <w:rPr>
          <w:rFonts w:hint="eastAsia"/>
        </w:rPr>
        <w:t xml:space="preserve"> </w:t>
      </w:r>
    </w:p>
    <w:p w14:paraId="28415411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综合查询</w:t>
      </w:r>
    </w:p>
    <w:p w14:paraId="7836BD03">
      <w:pPr>
        <w:ind w:left="240" w:right="240" w:firstLine="480"/>
      </w:pPr>
      <w:r>
        <w:rPr>
          <w:rFonts w:hint="eastAsia"/>
          <w:kern w:val="0"/>
        </w:rPr>
        <w:t>系统实现综合信息的查询，内容可包括：医院信息、就诊情况、物价信息、取药信息等</w:t>
      </w:r>
    </w:p>
    <w:p w14:paraId="31D577C4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对账清单</w:t>
      </w:r>
    </w:p>
    <w:p w14:paraId="4ED7F76B">
      <w:pPr>
        <w:ind w:left="240" w:right="240" w:firstLine="480"/>
      </w:pPr>
      <w:r>
        <w:rPr>
          <w:rFonts w:hint="eastAsia"/>
        </w:rPr>
        <w:t>充值机每日结账后，能够自动生成对账清单报表。</w:t>
      </w:r>
    </w:p>
    <w:p w14:paraId="028C4F37">
      <w:pPr>
        <w:ind w:left="240" w:right="240" w:firstLine="480"/>
      </w:pPr>
      <w:r>
        <w:rPr>
          <w:rFonts w:hint="eastAsia"/>
        </w:rPr>
        <w:t>支持查询扫码支付的交易流水、交易状态等信息。</w:t>
      </w:r>
    </w:p>
    <w:p w14:paraId="4BE3C9AE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异常监控</w:t>
      </w:r>
    </w:p>
    <w:p w14:paraId="4EDBFBE2">
      <w:pPr>
        <w:ind w:left="240" w:right="240" w:firstLine="480"/>
      </w:pPr>
      <w:r>
        <w:rPr>
          <w:rFonts w:hint="eastAsia"/>
        </w:rPr>
        <w:t>发生故障时，自助机能够预警。若发现业务程序异常退出时，能够自动重启业务程序。</w:t>
      </w:r>
    </w:p>
    <w:p w14:paraId="6ED7DC35">
      <w:pPr>
        <w:pStyle w:val="18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660" w:right="240" w:firstLineChars="0"/>
      </w:pPr>
      <w:r>
        <w:rPr>
          <w:rFonts w:hint="eastAsia"/>
        </w:rPr>
        <w:t>定时开机/关机</w:t>
      </w:r>
    </w:p>
    <w:p w14:paraId="04570D4D">
      <w:pPr>
        <w:ind w:left="240" w:right="240" w:firstLine="480"/>
      </w:pPr>
      <w:r>
        <w:rPr>
          <w:rFonts w:hint="eastAsia"/>
        </w:rPr>
        <w:t>能够根据业务需要，设置自助机定时开机、关机。</w:t>
      </w:r>
    </w:p>
    <w:p w14:paraId="49D3DEB8">
      <w:pPr>
        <w:pStyle w:val="18"/>
        <w:numPr>
          <w:ilvl w:val="0"/>
          <w:numId w:val="2"/>
        </w:numPr>
        <w:ind w:left="284" w:leftChars="0" w:right="240" w:firstLine="0" w:firstLineChars="0"/>
        <w:rPr>
          <w:rFonts w:hint="eastAsia"/>
        </w:rPr>
      </w:pPr>
      <w:r>
        <w:rPr>
          <w:rFonts w:hint="eastAsia"/>
        </w:rPr>
        <w:t>打印机监控</w:t>
      </w:r>
    </w:p>
    <w:p w14:paraId="2C522B66">
      <w:pPr>
        <w:pStyle w:val="18"/>
        <w:ind w:left="284" w:leftChars="0" w:right="240" w:firstLine="136" w:firstLineChars="0"/>
      </w:pPr>
      <w:r>
        <w:rPr>
          <w:rFonts w:hint="eastAsia"/>
        </w:rPr>
        <w:t>支持</w:t>
      </w:r>
      <w:r>
        <w:rPr>
          <w:rFonts w:hint="eastAsia" w:ascii="宋体" w:hAnsi="宋体" w:cs="宋体"/>
          <w:kern w:val="0"/>
          <w:szCs w:val="21"/>
          <w:highlight w:val="yellow"/>
        </w:rPr>
        <w:t>剩余纸张提醒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hint="eastAsia"/>
        </w:rPr>
        <w:t>异常状态监控：卡纸、缺纸、缺墨等</w:t>
      </w:r>
    </w:p>
    <w:p w14:paraId="23A6158A">
      <w:pPr>
        <w:pStyle w:val="3"/>
      </w:pPr>
      <w:bookmarkStart w:id="1" w:name="_Toc492983749"/>
      <w:r>
        <w:rPr>
          <w:rFonts w:hint="eastAsia"/>
        </w:rPr>
        <w:t>接口需求</w:t>
      </w:r>
      <w:bookmarkEnd w:id="1"/>
    </w:p>
    <w:p w14:paraId="03D3C468">
      <w:pPr>
        <w:ind w:left="240" w:right="240" w:firstLine="480"/>
      </w:pPr>
      <w:r>
        <w:rPr>
          <w:rFonts w:hint="eastAsia"/>
        </w:rPr>
        <w:t>HIS、EMR、集成平台、检验检查系统、统一支付系统、电子票据系统、医技统一预约、电子签名、体检系统、排队叫号、医保接口、市民健康及医院发展中可能产生的所有业务系统接口。</w:t>
      </w:r>
    </w:p>
    <w:p w14:paraId="06CC23E4">
      <w:pPr>
        <w:pStyle w:val="3"/>
      </w:pPr>
      <w:bookmarkStart w:id="2" w:name="_Toc492983750"/>
      <w:r>
        <w:rPr>
          <w:rFonts w:hint="eastAsia"/>
        </w:rPr>
        <w:t>自助服务管理平台功能：</w:t>
      </w:r>
      <w:bookmarkEnd w:id="2"/>
    </w:p>
    <w:p w14:paraId="38008C44">
      <w:pPr>
        <w:pStyle w:val="18"/>
        <w:numPr>
          <w:ilvl w:val="0"/>
          <w:numId w:val="3"/>
        </w:numPr>
        <w:ind w:leftChars="0" w:right="240" w:firstLineChars="0"/>
        <w:rPr>
          <w:kern w:val="0"/>
        </w:rPr>
      </w:pPr>
      <w:r>
        <w:rPr>
          <w:rFonts w:hint="eastAsia"/>
          <w:kern w:val="0"/>
        </w:rPr>
        <w:t>控制中心：设备端提供维护功能、日收钱汇总信息。服务端提供图形化的管理界面，包括服务管理、终端监控、日志管理、报表、信息维护、满意度管理、系统管理等等</w:t>
      </w:r>
    </w:p>
    <w:p w14:paraId="4714A1EC">
      <w:pPr>
        <w:pStyle w:val="18"/>
        <w:numPr>
          <w:ilvl w:val="0"/>
          <w:numId w:val="3"/>
        </w:numPr>
        <w:ind w:leftChars="0" w:right="240" w:firstLineChars="0"/>
      </w:pPr>
      <w:r>
        <w:rPr>
          <w:rFonts w:hint="eastAsia"/>
        </w:rPr>
        <w:t>预交金控制开关：支持开启/关闭预交金充值功能。</w:t>
      </w:r>
    </w:p>
    <w:p w14:paraId="0E2C05D5">
      <w:pPr>
        <w:pStyle w:val="18"/>
        <w:numPr>
          <w:ilvl w:val="0"/>
          <w:numId w:val="3"/>
        </w:numPr>
        <w:ind w:leftChars="0" w:right="240" w:firstLineChars="0"/>
      </w:pPr>
      <w:r>
        <w:t>医保结算开关</w:t>
      </w:r>
      <w:r>
        <w:rPr>
          <w:rFonts w:hint="eastAsia"/>
        </w:rPr>
        <w:t>： 医保系统停机或故障时，支持临时关闭医保结算功。能，并在界面显示提示信息。</w:t>
      </w:r>
    </w:p>
    <w:p w14:paraId="60E5D2E2">
      <w:pPr>
        <w:pStyle w:val="18"/>
        <w:numPr>
          <w:ilvl w:val="0"/>
          <w:numId w:val="3"/>
        </w:numPr>
        <w:ind w:leftChars="0" w:right="240" w:firstLineChars="0"/>
      </w:pPr>
      <w:r>
        <w:rPr>
          <w:rFonts w:hint="eastAsia"/>
        </w:rPr>
        <w:t>住院医保移动支付服务：为自助机提供医保入院/出院/结算等服务，并提供标准接口供互联网医院调用。</w:t>
      </w:r>
    </w:p>
    <w:p w14:paraId="0181A994">
      <w:pPr>
        <w:pStyle w:val="18"/>
        <w:numPr>
          <w:ilvl w:val="0"/>
          <w:numId w:val="3"/>
        </w:numPr>
        <w:ind w:leftChars="0" w:right="240" w:firstLineChars="0"/>
      </w:pPr>
      <w:r>
        <w:rPr>
          <w:rFonts w:hint="eastAsia"/>
        </w:rPr>
        <w:t>每日医保预结算：对于医保住院患者，每日定时与医保预结算，然后同步更新HIS可用余额。</w:t>
      </w:r>
    </w:p>
    <w:p w14:paraId="3B163C3F">
      <w:pPr>
        <w:pStyle w:val="18"/>
        <w:numPr>
          <w:ilvl w:val="0"/>
          <w:numId w:val="3"/>
        </w:numPr>
        <w:ind w:leftChars="0" w:right="240" w:firstLineChars="0"/>
      </w:pPr>
      <w:r>
        <w:t>管理平台操作</w:t>
      </w:r>
      <w:r>
        <w:rPr>
          <w:rFonts w:hint="eastAsia"/>
        </w:rPr>
        <w:t>/</w:t>
      </w:r>
      <w:r>
        <w:t>运维日志</w:t>
      </w:r>
      <w:r>
        <w:rPr>
          <w:rFonts w:hint="eastAsia"/>
        </w:rPr>
        <w:t>：定时自动备份/清理日志，</w:t>
      </w:r>
      <w:r>
        <w:t>支持导出日志</w:t>
      </w:r>
      <w:r>
        <w:rPr>
          <w:rFonts w:hint="eastAsia"/>
        </w:rPr>
        <w:t>。</w:t>
      </w:r>
    </w:p>
    <w:p w14:paraId="48D27B2F">
      <w:pPr>
        <w:pStyle w:val="18"/>
        <w:numPr>
          <w:ilvl w:val="0"/>
          <w:numId w:val="3"/>
        </w:numPr>
        <w:ind w:leftChars="0" w:right="240" w:firstLineChars="0"/>
      </w:pPr>
      <w:r>
        <w:rPr>
          <w:rFonts w:hint="eastAsia"/>
        </w:rPr>
        <w:t>医保自费结算控制开关：支持开启/关闭自费类别的医保卡进行结算。</w:t>
      </w:r>
    </w:p>
    <w:p w14:paraId="0D6AC853">
      <w:pPr>
        <w:pStyle w:val="18"/>
        <w:numPr>
          <w:ilvl w:val="0"/>
          <w:numId w:val="3"/>
        </w:numPr>
        <w:ind w:leftChars="0" w:right="240" w:firstLineChars="0"/>
      </w:pPr>
      <w:r>
        <w:rPr>
          <w:rFonts w:hint="eastAsia"/>
          <w:kern w:val="0"/>
        </w:rPr>
        <w:t>医保账单下载，医保对账服务。</w:t>
      </w:r>
    </w:p>
    <w:p w14:paraId="1AD3551D">
      <w:pPr>
        <w:pStyle w:val="3"/>
      </w:pPr>
      <w:r>
        <w:rPr>
          <w:rFonts w:hint="eastAsia"/>
        </w:rPr>
        <w:t>其他需求:</w:t>
      </w:r>
    </w:p>
    <w:p w14:paraId="6A896862">
      <w:pPr>
        <w:pStyle w:val="18"/>
        <w:numPr>
          <w:ilvl w:val="0"/>
          <w:numId w:val="4"/>
        </w:numPr>
        <w:ind w:leftChars="0" w:right="240" w:firstLineChars="0"/>
      </w:pPr>
      <w:r>
        <w:rPr>
          <w:rFonts w:hint="eastAsia"/>
        </w:rPr>
        <w:t>支持国产信创服务器环境。</w:t>
      </w:r>
    </w:p>
    <w:p w14:paraId="53BAC360">
      <w:pPr>
        <w:pStyle w:val="18"/>
        <w:numPr>
          <w:ilvl w:val="0"/>
          <w:numId w:val="4"/>
        </w:numPr>
        <w:ind w:leftChars="0" w:right="240" w:firstLineChars="0"/>
      </w:pPr>
      <w:r>
        <w:rPr>
          <w:rFonts w:hint="eastAsia"/>
        </w:rPr>
        <w:t>系统按信息系统安全等级保护三级标准建设。</w:t>
      </w:r>
    </w:p>
    <w:p w14:paraId="5AEA68FD">
      <w:pPr>
        <w:pStyle w:val="18"/>
        <w:numPr>
          <w:ilvl w:val="0"/>
          <w:numId w:val="4"/>
        </w:numPr>
        <w:ind w:leftChars="0" w:right="240" w:firstLineChars="0"/>
      </w:pPr>
      <w:r>
        <w:rPr>
          <w:rFonts w:hint="eastAsia"/>
        </w:rPr>
        <w:t>自助机硬盘空间大小至少2T，都带小票打印机和A4黑白激光打印机。</w:t>
      </w:r>
    </w:p>
    <w:p w14:paraId="03DA91D7">
      <w:pPr>
        <w:pStyle w:val="18"/>
        <w:numPr>
          <w:ilvl w:val="0"/>
          <w:numId w:val="4"/>
        </w:numPr>
        <w:ind w:leftChars="0" w:right="240" w:firstLineChars="0"/>
        <w:rPr>
          <w:rFonts w:hint="eastAsia"/>
        </w:rPr>
      </w:pPr>
      <w:r>
        <w:rPr>
          <w:rFonts w:hint="eastAsia"/>
        </w:rPr>
        <w:t>需要提供软件平台的代码审计报告。</w:t>
      </w:r>
    </w:p>
    <w:p w14:paraId="249B7806">
      <w:pPr>
        <w:pStyle w:val="18"/>
        <w:numPr>
          <w:ilvl w:val="0"/>
          <w:numId w:val="4"/>
        </w:numPr>
        <w:ind w:leftChars="0" w:right="240" w:firstLineChars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免费维保期：6年。</w:t>
      </w:r>
    </w:p>
    <w:p w14:paraId="64EBFB03">
      <w:pPr>
        <w:pStyle w:val="18"/>
        <w:numPr>
          <w:ilvl w:val="0"/>
          <w:numId w:val="4"/>
        </w:numPr>
        <w:ind w:leftChars="0" w:right="240" w:firstLineChars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报名材料请提供高清产品资料图片</w:t>
      </w:r>
    </w:p>
    <w:p w14:paraId="24198814">
      <w:pPr>
        <w:ind w:leftChars="0" w:right="240" w:firstLineChars="0"/>
        <w:rPr>
          <w:rFonts w:hint="eastAsia"/>
        </w:rPr>
      </w:pPr>
    </w:p>
    <w:p w14:paraId="4966C30B">
      <w:pPr>
        <w:ind w:leftChars="0" w:right="24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3" w:name="_GoBack"/>
      <w:bookmarkEnd w:id="3"/>
    </w:p>
    <w:p w14:paraId="3B1F2112">
      <w:pPr>
        <w:ind w:leftChars="0" w:right="240" w:firstLineChars="0"/>
        <w:rPr>
          <w:rFonts w:hint="eastAsia"/>
        </w:rPr>
      </w:pPr>
    </w:p>
    <w:p w14:paraId="7DC6C474">
      <w:pPr>
        <w:pStyle w:val="3"/>
        <w:rPr>
          <w:rFonts w:hint="eastAsia"/>
        </w:rPr>
      </w:pPr>
      <w:r>
        <w:rPr>
          <w:rFonts w:hint="eastAsia"/>
        </w:rPr>
        <w:t>报价要求</w:t>
      </w:r>
    </w:p>
    <w:p w14:paraId="1C78A9C2">
      <w:pPr>
        <w:ind w:left="240" w:right="240" w:firstLine="480"/>
        <w:rPr>
          <w:rFonts w:hint="eastAsia"/>
        </w:rPr>
      </w:pPr>
    </w:p>
    <w:tbl>
      <w:tblPr>
        <w:tblStyle w:val="10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054"/>
        <w:gridCol w:w="1056"/>
        <w:gridCol w:w="2760"/>
        <w:gridCol w:w="1842"/>
        <w:gridCol w:w="1843"/>
        <w:gridCol w:w="3119"/>
      </w:tblGrid>
      <w:tr w14:paraId="28DF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 w14:paraId="66AF0D3E">
            <w:pPr>
              <w:ind w:left="0" w:leftChars="0" w:right="24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产品名称</w:t>
            </w:r>
          </w:p>
        </w:tc>
        <w:tc>
          <w:tcPr>
            <w:tcW w:w="1054" w:type="dxa"/>
          </w:tcPr>
          <w:p w14:paraId="320939F4">
            <w:pPr>
              <w:ind w:left="0" w:leftChars="0" w:right="24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单价</w:t>
            </w:r>
          </w:p>
        </w:tc>
        <w:tc>
          <w:tcPr>
            <w:tcW w:w="1056" w:type="dxa"/>
          </w:tcPr>
          <w:p w14:paraId="0FD30F55">
            <w:pPr>
              <w:ind w:left="0" w:leftChars="0" w:right="24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数量</w:t>
            </w:r>
          </w:p>
        </w:tc>
        <w:tc>
          <w:tcPr>
            <w:tcW w:w="2760" w:type="dxa"/>
          </w:tcPr>
          <w:p w14:paraId="7DF0C231">
            <w:pPr>
              <w:ind w:left="0" w:leftChars="0" w:right="24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总价</w:t>
            </w:r>
            <w:r>
              <w:rPr>
                <w:rFonts w:hint="eastAsia"/>
                <w:sz w:val="21"/>
                <w:szCs w:val="21"/>
              </w:rPr>
              <w:t>1</w:t>
            </w:r>
          </w:p>
          <w:p w14:paraId="17F4E46B">
            <w:pPr>
              <w:ind w:left="0" w:leftChars="0" w:right="24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（不含现金和银行卡充值）</w:t>
            </w:r>
          </w:p>
        </w:tc>
        <w:tc>
          <w:tcPr>
            <w:tcW w:w="1842" w:type="dxa"/>
          </w:tcPr>
          <w:p w14:paraId="62D41600">
            <w:pPr>
              <w:ind w:left="0" w:leftChars="0" w:right="24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加配置</w:t>
            </w:r>
            <w:r>
              <w:rPr>
                <w:rFonts w:hint="eastAsia"/>
                <w:sz w:val="21"/>
                <w:szCs w:val="21"/>
              </w:rPr>
              <w:t>1个</w:t>
            </w:r>
            <w:r>
              <w:rPr>
                <w:sz w:val="21"/>
                <w:szCs w:val="21"/>
              </w:rPr>
              <w:t>现金充值功能</w:t>
            </w:r>
            <w:r>
              <w:rPr>
                <w:rFonts w:hint="eastAsia"/>
                <w:sz w:val="21"/>
                <w:szCs w:val="21"/>
              </w:rPr>
              <w:t>价格</w:t>
            </w:r>
          </w:p>
        </w:tc>
        <w:tc>
          <w:tcPr>
            <w:tcW w:w="1843" w:type="dxa"/>
          </w:tcPr>
          <w:p w14:paraId="74385350">
            <w:pPr>
              <w:ind w:left="0" w:leftChars="0" w:right="240"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加配置</w:t>
            </w:r>
            <w:r>
              <w:rPr>
                <w:rFonts w:hint="eastAsia"/>
                <w:sz w:val="21"/>
                <w:szCs w:val="21"/>
              </w:rPr>
              <w:t>1个银行卡</w:t>
            </w:r>
            <w:r>
              <w:rPr>
                <w:sz w:val="21"/>
                <w:szCs w:val="21"/>
              </w:rPr>
              <w:t>充值功能</w:t>
            </w:r>
            <w:r>
              <w:rPr>
                <w:rFonts w:hint="eastAsia"/>
                <w:sz w:val="21"/>
                <w:szCs w:val="21"/>
              </w:rPr>
              <w:t>价格</w:t>
            </w:r>
          </w:p>
        </w:tc>
        <w:tc>
          <w:tcPr>
            <w:tcW w:w="3119" w:type="dxa"/>
          </w:tcPr>
          <w:p w14:paraId="2752C875">
            <w:pPr>
              <w:ind w:left="0" w:leftChars="0" w:right="240"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总价</w:t>
            </w:r>
            <w:r>
              <w:rPr>
                <w:rFonts w:hint="eastAsia"/>
                <w:sz w:val="21"/>
                <w:szCs w:val="21"/>
              </w:rPr>
              <w:t>2</w:t>
            </w:r>
          </w:p>
          <w:p w14:paraId="54ED57AC">
            <w:pPr>
              <w:ind w:left="0" w:leftChars="0" w:right="240"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（含现金和银行卡充值）</w:t>
            </w:r>
          </w:p>
        </w:tc>
      </w:tr>
      <w:tr w14:paraId="1A12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 w14:paraId="3696C9A3">
            <w:pPr>
              <w:ind w:left="0" w:leftChars="0" w:right="240" w:firstLine="0" w:firstLineChars="0"/>
            </w:pPr>
            <w:r>
              <w:t>实例</w:t>
            </w:r>
          </w:p>
        </w:tc>
        <w:tc>
          <w:tcPr>
            <w:tcW w:w="1054" w:type="dxa"/>
          </w:tcPr>
          <w:p w14:paraId="0CA35DF8">
            <w:pPr>
              <w:ind w:left="0" w:leftChars="0" w:right="240" w:firstLine="0" w:firstLineChars="0"/>
            </w:pPr>
          </w:p>
        </w:tc>
        <w:tc>
          <w:tcPr>
            <w:tcW w:w="1056" w:type="dxa"/>
          </w:tcPr>
          <w:p w14:paraId="09C31C48">
            <w:pPr>
              <w:ind w:left="0" w:leftChars="0" w:right="240" w:firstLine="0" w:firstLineChars="0"/>
            </w:pPr>
          </w:p>
        </w:tc>
        <w:tc>
          <w:tcPr>
            <w:tcW w:w="2760" w:type="dxa"/>
          </w:tcPr>
          <w:p w14:paraId="66086E11">
            <w:pPr>
              <w:ind w:left="0" w:leftChars="0" w:right="240" w:firstLine="0" w:firstLineChars="0"/>
            </w:pPr>
            <w:r>
              <w:t>总价</w:t>
            </w:r>
          </w:p>
        </w:tc>
        <w:tc>
          <w:tcPr>
            <w:tcW w:w="1842" w:type="dxa"/>
          </w:tcPr>
          <w:p w14:paraId="6B09BC57">
            <w:pPr>
              <w:ind w:left="0" w:leftChars="0" w:right="240" w:firstLine="0" w:firstLineChars="0"/>
            </w:pPr>
            <w:r>
              <w:rPr>
                <w:rFonts w:hint="eastAsia"/>
              </w:rPr>
              <w:t>(加配单个价格)</w:t>
            </w:r>
          </w:p>
        </w:tc>
        <w:tc>
          <w:tcPr>
            <w:tcW w:w="1843" w:type="dxa"/>
          </w:tcPr>
          <w:p w14:paraId="0E41DD86">
            <w:pPr>
              <w:ind w:left="0" w:leftChars="0" w:right="240" w:firstLine="0" w:firstLineChars="0"/>
            </w:pPr>
            <w:r>
              <w:rPr>
                <w:rFonts w:hint="eastAsia"/>
              </w:rPr>
              <w:t>(加配单个价格)</w:t>
            </w:r>
          </w:p>
        </w:tc>
        <w:tc>
          <w:tcPr>
            <w:tcW w:w="3119" w:type="dxa"/>
          </w:tcPr>
          <w:p w14:paraId="21AD6DAC">
            <w:pPr>
              <w:ind w:left="0" w:leftChars="0" w:right="240" w:firstLine="0" w:firstLineChars="0"/>
            </w:pPr>
            <w:r>
              <w:t>含加配置价格</w:t>
            </w:r>
          </w:p>
        </w:tc>
      </w:tr>
      <w:tr w14:paraId="767B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 w14:paraId="1ECB6809">
            <w:pPr>
              <w:ind w:left="0" w:leftChars="0" w:right="240" w:firstLine="0" w:firstLineChars="0"/>
            </w:pPr>
          </w:p>
        </w:tc>
        <w:tc>
          <w:tcPr>
            <w:tcW w:w="1054" w:type="dxa"/>
          </w:tcPr>
          <w:p w14:paraId="4B21723E">
            <w:pPr>
              <w:ind w:left="0" w:leftChars="0" w:right="240" w:firstLine="0" w:firstLineChars="0"/>
            </w:pPr>
          </w:p>
        </w:tc>
        <w:tc>
          <w:tcPr>
            <w:tcW w:w="1056" w:type="dxa"/>
          </w:tcPr>
          <w:p w14:paraId="5995F20B">
            <w:pPr>
              <w:ind w:left="0" w:leftChars="0" w:right="240" w:firstLine="0" w:firstLineChars="0"/>
            </w:pPr>
          </w:p>
        </w:tc>
        <w:tc>
          <w:tcPr>
            <w:tcW w:w="2760" w:type="dxa"/>
          </w:tcPr>
          <w:p w14:paraId="38E1D7AB">
            <w:pPr>
              <w:ind w:left="0" w:leftChars="0" w:right="240" w:firstLine="0" w:firstLineChars="0"/>
            </w:pPr>
          </w:p>
        </w:tc>
        <w:tc>
          <w:tcPr>
            <w:tcW w:w="1842" w:type="dxa"/>
          </w:tcPr>
          <w:p w14:paraId="65A9EEF4">
            <w:pPr>
              <w:ind w:left="0" w:leftChars="0" w:right="240" w:firstLine="0" w:firstLineChars="0"/>
            </w:pPr>
          </w:p>
        </w:tc>
        <w:tc>
          <w:tcPr>
            <w:tcW w:w="1843" w:type="dxa"/>
          </w:tcPr>
          <w:p w14:paraId="527C95D8">
            <w:pPr>
              <w:ind w:left="0" w:leftChars="0" w:right="240" w:firstLine="0" w:firstLineChars="0"/>
            </w:pPr>
          </w:p>
        </w:tc>
        <w:tc>
          <w:tcPr>
            <w:tcW w:w="3119" w:type="dxa"/>
          </w:tcPr>
          <w:p w14:paraId="039E1D5A">
            <w:pPr>
              <w:ind w:left="0" w:leftChars="0" w:right="240" w:firstLine="0" w:firstLineChars="0"/>
            </w:pPr>
          </w:p>
        </w:tc>
      </w:tr>
    </w:tbl>
    <w:p w14:paraId="2015B445">
      <w:pPr>
        <w:ind w:left="98" w:leftChars="41" w:right="240" w:firstLine="199" w:firstLineChars="83"/>
        <w:rPr>
          <w:rFonts w:hint="eastAsia"/>
        </w:rPr>
      </w:pPr>
    </w:p>
    <w:p w14:paraId="46854D71">
      <w:pPr>
        <w:ind w:left="98" w:leftChars="41" w:right="240" w:firstLine="199" w:firstLineChars="83"/>
        <w:rPr>
          <w:rFonts w:hint="eastAsia"/>
        </w:rPr>
      </w:pPr>
      <w:r>
        <w:rPr>
          <w:rFonts w:hint="eastAsia"/>
        </w:rPr>
        <w:t>另外如果黑白激光打印机换为彩色打印机。 每台需要增加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元</w:t>
      </w:r>
    </w:p>
    <w:p w14:paraId="45F9516A">
      <w:pPr>
        <w:ind w:left="98" w:leftChars="41" w:right="240" w:firstLineChars="83"/>
        <w:rPr>
          <w:rFonts w:hint="eastAsia"/>
          <w:b/>
        </w:rPr>
      </w:pPr>
    </w:p>
    <w:p w14:paraId="79A458BC">
      <w:pPr>
        <w:ind w:left="98" w:leftChars="41" w:right="240" w:firstLine="199" w:firstLineChars="83"/>
      </w:pPr>
    </w:p>
    <w:p w14:paraId="2DA98009">
      <w:pPr>
        <w:ind w:left="240" w:right="240" w:firstLine="48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40" w:right="240" w:firstLine="480"/>
      </w:pPr>
      <w:r>
        <w:separator/>
      </w:r>
    </w:p>
  </w:endnote>
  <w:endnote w:type="continuationSeparator" w:id="1">
    <w:p>
      <w:pPr>
        <w:spacing w:line="240" w:lineRule="auto"/>
        <w:ind w:left="240" w:right="24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ￋￎￌ￥">
    <w:altName w:val="Segoe Print"/>
    <w:panose1 w:val="00000000000000000000"/>
    <w:charset w:val="FE"/>
    <w:family w:val="auto"/>
    <w:pitch w:val="default"/>
    <w:sig w:usb0="00000000" w:usb1="00000000" w:usb2="00000000" w:usb3="00000000" w:csb0="04000000" w:csb1="00000000"/>
  </w:font>
  <w:font w:name="ﾻﾪￎￄﾷￂￋￎ">
    <w:altName w:val="Segoe Print"/>
    <w:panose1 w:val="00000000000000000000"/>
    <w:charset w:val="FE"/>
    <w:family w:val="auto"/>
    <w:pitch w:val="default"/>
    <w:sig w:usb0="00000000" w:usb1="00000000" w:usb2="00000000" w:usb3="00000000" w:csb0="04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2CB93">
    <w:pPr>
      <w:pStyle w:val="7"/>
      <w:ind w:left="240" w:right="24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E7088">
    <w:pPr>
      <w:pStyle w:val="7"/>
      <w:ind w:left="240" w:right="24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93430">
    <w:pPr>
      <w:pStyle w:val="7"/>
      <w:ind w:left="240" w:right="24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  <w:ind w:left="240" w:right="240" w:firstLine="480"/>
      </w:pPr>
      <w:r>
        <w:separator/>
      </w:r>
    </w:p>
  </w:footnote>
  <w:footnote w:type="continuationSeparator" w:id="1">
    <w:p>
      <w:pPr>
        <w:spacing w:before="0" w:after="0" w:line="312" w:lineRule="auto"/>
        <w:ind w:left="240" w:right="24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D4379">
    <w:pPr>
      <w:pStyle w:val="8"/>
      <w:ind w:left="240" w:right="24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70655">
    <w:pPr>
      <w:pStyle w:val="8"/>
      <w:ind w:left="240" w:right="24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6B665">
    <w:pPr>
      <w:pStyle w:val="8"/>
      <w:ind w:left="240" w:right="24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A5678"/>
    <w:multiLevelType w:val="multilevel"/>
    <w:tmpl w:val="06FA5678"/>
    <w:lvl w:ilvl="0" w:tentative="0">
      <w:start w:val="1"/>
      <w:numFmt w:val="decimal"/>
      <w:lvlText w:val="（%1）"/>
      <w:lvlJc w:val="left"/>
      <w:pPr>
        <w:ind w:left="-1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" w:hanging="420"/>
      </w:pPr>
    </w:lvl>
    <w:lvl w:ilvl="2" w:tentative="0">
      <w:start w:val="1"/>
      <w:numFmt w:val="lowerRoman"/>
      <w:lvlText w:val="%3."/>
      <w:lvlJc w:val="right"/>
      <w:pPr>
        <w:ind w:left="540" w:hanging="420"/>
      </w:pPr>
    </w:lvl>
    <w:lvl w:ilvl="3" w:tentative="0">
      <w:start w:val="1"/>
      <w:numFmt w:val="decimal"/>
      <w:lvlText w:val="%4."/>
      <w:lvlJc w:val="left"/>
      <w:pPr>
        <w:ind w:left="960" w:hanging="420"/>
      </w:pPr>
    </w:lvl>
    <w:lvl w:ilvl="4" w:tentative="0">
      <w:start w:val="1"/>
      <w:numFmt w:val="lowerLetter"/>
      <w:lvlText w:val="%5)"/>
      <w:lvlJc w:val="left"/>
      <w:pPr>
        <w:ind w:left="1380" w:hanging="420"/>
      </w:pPr>
    </w:lvl>
    <w:lvl w:ilvl="5" w:tentative="0">
      <w:start w:val="1"/>
      <w:numFmt w:val="lowerRoman"/>
      <w:lvlText w:val="%6."/>
      <w:lvlJc w:val="right"/>
      <w:pPr>
        <w:ind w:left="1800" w:hanging="420"/>
      </w:pPr>
    </w:lvl>
    <w:lvl w:ilvl="6" w:tentative="0">
      <w:start w:val="1"/>
      <w:numFmt w:val="decimal"/>
      <w:lvlText w:val="%7."/>
      <w:lvlJc w:val="left"/>
      <w:pPr>
        <w:ind w:left="2220" w:hanging="420"/>
      </w:pPr>
    </w:lvl>
    <w:lvl w:ilvl="7" w:tentative="0">
      <w:start w:val="1"/>
      <w:numFmt w:val="lowerLetter"/>
      <w:lvlText w:val="%8)"/>
      <w:lvlJc w:val="left"/>
      <w:pPr>
        <w:ind w:left="2640" w:hanging="420"/>
      </w:pPr>
    </w:lvl>
    <w:lvl w:ilvl="8" w:tentative="0">
      <w:start w:val="1"/>
      <w:numFmt w:val="lowerRoman"/>
      <w:lvlText w:val="%9."/>
      <w:lvlJc w:val="right"/>
      <w:pPr>
        <w:ind w:left="3060" w:hanging="420"/>
      </w:pPr>
    </w:lvl>
  </w:abstractNum>
  <w:abstractNum w:abstractNumId="1">
    <w:nsid w:val="14CC1105"/>
    <w:multiLevelType w:val="multilevel"/>
    <w:tmpl w:val="14CC110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36F7727"/>
    <w:multiLevelType w:val="multilevel"/>
    <w:tmpl w:val="336F7727"/>
    <w:lvl w:ilvl="0" w:tentative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3A3D7989"/>
    <w:multiLevelType w:val="multilevel"/>
    <w:tmpl w:val="3A3D7989"/>
    <w:lvl w:ilvl="0" w:tentative="0">
      <w:start w:val="1"/>
      <w:numFmt w:val="chineseCountingThousand"/>
      <w:pStyle w:val="2"/>
      <w:lvlText w:val="第%1章."/>
      <w:lvlJc w:val="left"/>
      <w:pPr>
        <w:ind w:left="590" w:hanging="420"/>
      </w:pPr>
      <w:rPr>
        <w:rFonts w:hint="eastAsia"/>
        <w:sz w:val="32"/>
        <w:szCs w:val="32"/>
      </w:rPr>
    </w:lvl>
    <w:lvl w:ilvl="1" w:tentative="0">
      <w:start w:val="1"/>
      <w:numFmt w:val="decimal"/>
      <w:pStyle w:val="3"/>
      <w:isLgl/>
      <w:suff w:val="space"/>
      <w:lvlText w:val="%1.%2 "/>
      <w:lvlJc w:val="left"/>
      <w:pPr>
        <w:ind w:left="573" w:hanging="431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 "/>
      <w:lvlJc w:val="left"/>
      <w:pPr>
        <w:ind w:left="431" w:hanging="431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1.%2.%3.%4 "/>
      <w:lvlJc w:val="left"/>
      <w:pPr>
        <w:ind w:left="719" w:hanging="719"/>
      </w:pPr>
      <w:rPr>
        <w:rFonts w:hint="default" w:ascii="Calibri" w:hAnsi="Calibri" w:cs="Calibri"/>
        <w:b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720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864"/>
        </w:tabs>
        <w:ind w:left="86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008"/>
        </w:tabs>
        <w:ind w:left="100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152"/>
        </w:tabs>
        <w:ind w:left="115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296"/>
        </w:tabs>
        <w:ind w:left="1296" w:hanging="1584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3A8"/>
    <w:rsid w:val="00002BA9"/>
    <w:rsid w:val="0005412F"/>
    <w:rsid w:val="00087C47"/>
    <w:rsid w:val="00097738"/>
    <w:rsid w:val="000F4906"/>
    <w:rsid w:val="00124C5C"/>
    <w:rsid w:val="00130143"/>
    <w:rsid w:val="00132BD7"/>
    <w:rsid w:val="0014472F"/>
    <w:rsid w:val="00170DF9"/>
    <w:rsid w:val="001C3CAE"/>
    <w:rsid w:val="001D18C7"/>
    <w:rsid w:val="001D47F9"/>
    <w:rsid w:val="001F5638"/>
    <w:rsid w:val="001F71D9"/>
    <w:rsid w:val="00210004"/>
    <w:rsid w:val="00231CE5"/>
    <w:rsid w:val="00272269"/>
    <w:rsid w:val="002A4A61"/>
    <w:rsid w:val="002C1147"/>
    <w:rsid w:val="002C3BF1"/>
    <w:rsid w:val="002C665B"/>
    <w:rsid w:val="002D3F10"/>
    <w:rsid w:val="003045C8"/>
    <w:rsid w:val="0030514B"/>
    <w:rsid w:val="00320B27"/>
    <w:rsid w:val="00374D24"/>
    <w:rsid w:val="003C3600"/>
    <w:rsid w:val="003C62FF"/>
    <w:rsid w:val="003E320B"/>
    <w:rsid w:val="003F299E"/>
    <w:rsid w:val="003F47E4"/>
    <w:rsid w:val="003F71B0"/>
    <w:rsid w:val="004066F9"/>
    <w:rsid w:val="004210D5"/>
    <w:rsid w:val="004732B9"/>
    <w:rsid w:val="00474334"/>
    <w:rsid w:val="004A4316"/>
    <w:rsid w:val="004B3491"/>
    <w:rsid w:val="004B45BF"/>
    <w:rsid w:val="004E4757"/>
    <w:rsid w:val="004E54A5"/>
    <w:rsid w:val="004E75FD"/>
    <w:rsid w:val="004F5ECB"/>
    <w:rsid w:val="005030FE"/>
    <w:rsid w:val="0051271D"/>
    <w:rsid w:val="005619DE"/>
    <w:rsid w:val="00563F28"/>
    <w:rsid w:val="00582B22"/>
    <w:rsid w:val="005A5F2C"/>
    <w:rsid w:val="006327DE"/>
    <w:rsid w:val="006460F3"/>
    <w:rsid w:val="00651512"/>
    <w:rsid w:val="00663FBE"/>
    <w:rsid w:val="00682DEC"/>
    <w:rsid w:val="00693631"/>
    <w:rsid w:val="006961F3"/>
    <w:rsid w:val="006A477A"/>
    <w:rsid w:val="006F720F"/>
    <w:rsid w:val="00701198"/>
    <w:rsid w:val="00710741"/>
    <w:rsid w:val="007451FF"/>
    <w:rsid w:val="00752123"/>
    <w:rsid w:val="007554B6"/>
    <w:rsid w:val="00764A58"/>
    <w:rsid w:val="00775045"/>
    <w:rsid w:val="00786D69"/>
    <w:rsid w:val="007B7FA6"/>
    <w:rsid w:val="007D3902"/>
    <w:rsid w:val="007D42D1"/>
    <w:rsid w:val="007F1B9F"/>
    <w:rsid w:val="007F6AD3"/>
    <w:rsid w:val="00806C96"/>
    <w:rsid w:val="00811859"/>
    <w:rsid w:val="00833621"/>
    <w:rsid w:val="00835577"/>
    <w:rsid w:val="008725A2"/>
    <w:rsid w:val="00874BEE"/>
    <w:rsid w:val="008D3A51"/>
    <w:rsid w:val="008E03D8"/>
    <w:rsid w:val="00906BF9"/>
    <w:rsid w:val="00955100"/>
    <w:rsid w:val="00961876"/>
    <w:rsid w:val="00981405"/>
    <w:rsid w:val="00987F50"/>
    <w:rsid w:val="00990EE7"/>
    <w:rsid w:val="009A4169"/>
    <w:rsid w:val="009D7114"/>
    <w:rsid w:val="009E0DE0"/>
    <w:rsid w:val="009E527A"/>
    <w:rsid w:val="009F143F"/>
    <w:rsid w:val="009F66DC"/>
    <w:rsid w:val="00A05294"/>
    <w:rsid w:val="00A4262B"/>
    <w:rsid w:val="00A77317"/>
    <w:rsid w:val="00A93F97"/>
    <w:rsid w:val="00AC274C"/>
    <w:rsid w:val="00AC4F92"/>
    <w:rsid w:val="00AE3A4C"/>
    <w:rsid w:val="00B113DF"/>
    <w:rsid w:val="00B47705"/>
    <w:rsid w:val="00B52569"/>
    <w:rsid w:val="00B668F4"/>
    <w:rsid w:val="00B72FB0"/>
    <w:rsid w:val="00B74E47"/>
    <w:rsid w:val="00B914B5"/>
    <w:rsid w:val="00B93B7A"/>
    <w:rsid w:val="00B96D44"/>
    <w:rsid w:val="00BC5E95"/>
    <w:rsid w:val="00BF0696"/>
    <w:rsid w:val="00C54353"/>
    <w:rsid w:val="00C76494"/>
    <w:rsid w:val="00CA40AB"/>
    <w:rsid w:val="00CB3081"/>
    <w:rsid w:val="00D0260D"/>
    <w:rsid w:val="00D04D31"/>
    <w:rsid w:val="00D06D72"/>
    <w:rsid w:val="00D2177D"/>
    <w:rsid w:val="00D42564"/>
    <w:rsid w:val="00D64C25"/>
    <w:rsid w:val="00D70F9D"/>
    <w:rsid w:val="00DA324E"/>
    <w:rsid w:val="00DB4D32"/>
    <w:rsid w:val="00DB5877"/>
    <w:rsid w:val="00DC4659"/>
    <w:rsid w:val="00DC6469"/>
    <w:rsid w:val="00DD10C8"/>
    <w:rsid w:val="00E07026"/>
    <w:rsid w:val="00E11754"/>
    <w:rsid w:val="00E11842"/>
    <w:rsid w:val="00E2199D"/>
    <w:rsid w:val="00E35B51"/>
    <w:rsid w:val="00E40BEB"/>
    <w:rsid w:val="00E53D7D"/>
    <w:rsid w:val="00E6100E"/>
    <w:rsid w:val="00E61A10"/>
    <w:rsid w:val="00E629A4"/>
    <w:rsid w:val="00E7640A"/>
    <w:rsid w:val="00E85D48"/>
    <w:rsid w:val="00EA2284"/>
    <w:rsid w:val="00EC36D2"/>
    <w:rsid w:val="00EC3988"/>
    <w:rsid w:val="00EE1082"/>
    <w:rsid w:val="00EF479B"/>
    <w:rsid w:val="00EF70F0"/>
    <w:rsid w:val="00F201EE"/>
    <w:rsid w:val="00F23103"/>
    <w:rsid w:val="00F23AA2"/>
    <w:rsid w:val="00F30592"/>
    <w:rsid w:val="00F44289"/>
    <w:rsid w:val="00F46FC0"/>
    <w:rsid w:val="00F72FD1"/>
    <w:rsid w:val="00F7397B"/>
    <w:rsid w:val="00FA2226"/>
    <w:rsid w:val="00FF5060"/>
    <w:rsid w:val="7521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after="100" w:line="312" w:lineRule="auto"/>
      <w:ind w:left="100" w:leftChars="100" w:right="100" w:rightChars="100" w:firstLine="200" w:firstLineChars="200"/>
    </w:pPr>
    <w:rPr>
      <w:rFonts w:ascii="Calibri" w:hAnsi="Calibri" w:cs="Times New Roman" w:eastAsiaTheme="minorEastAsia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163" w:line="240" w:lineRule="auto"/>
      <w:ind w:left="0" w:leftChars="0"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numPr>
        <w:ilvl w:val="1"/>
        <w:numId w:val="1"/>
      </w:numPr>
      <w:spacing w:before="163" w:after="163"/>
      <w:ind w:left="0" w:leftChars="0" w:right="240" w:firstLine="0" w:firstLineChars="0"/>
      <w:outlineLvl w:val="1"/>
    </w:pPr>
    <w:rPr>
      <w:b/>
      <w:bCs/>
      <w:sz w:val="30"/>
      <w:szCs w:val="30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numPr>
        <w:ilvl w:val="2"/>
        <w:numId w:val="1"/>
      </w:numPr>
      <w:spacing w:line="415" w:lineRule="auto"/>
      <w:ind w:left="0" w:leftChars="0" w:firstLine="0" w:firstLineChars="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numPr>
        <w:ilvl w:val="3"/>
        <w:numId w:val="1"/>
      </w:numPr>
      <w:spacing w:line="377" w:lineRule="auto"/>
      <w:ind w:left="0" w:leftChars="0" w:firstLine="0" w:firstLineChars="0"/>
      <w:outlineLvl w:val="3"/>
    </w:pPr>
    <w:rPr>
      <w:rFonts w:ascii="宋体" w:hAnsi="宋体"/>
      <w:b/>
      <w:bCs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21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line number"/>
    <w:basedOn w:val="11"/>
    <w:unhideWhenUsed/>
    <w:uiPriority w:val="99"/>
    <w:rPr>
      <w:rFonts w:hint="default"/>
      <w:sz w:val="18"/>
      <w:szCs w:val="24"/>
    </w:rPr>
  </w:style>
  <w:style w:type="character" w:styleId="13">
    <w:name w:val="Hyperlink"/>
    <w:unhideWhenUsed/>
    <w:uiPriority w:val="99"/>
    <w:rPr>
      <w:rFonts w:hint="default" w:ascii="ￋￎￌ￥" w:hAnsi="ￋￎￌ￥" w:eastAsia="ￋￎￌ￥"/>
      <w:color w:val="0000FF"/>
      <w:sz w:val="18"/>
      <w:szCs w:val="24"/>
      <w:u w:val="single" w:color="0000FF"/>
    </w:rPr>
  </w:style>
  <w:style w:type="character" w:customStyle="1" w:styleId="14">
    <w:name w:val="标题 1 Char"/>
    <w:basedOn w:val="11"/>
    <w:link w:val="2"/>
    <w:uiPriority w:val="0"/>
    <w:rPr>
      <w:rFonts w:ascii="Calibri" w:hAnsi="Calibri" w:cs="Times New Roman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ascii="Calibri" w:hAnsi="Calibri" w:cs="Times New Roman"/>
      <w:b/>
      <w:bCs/>
      <w:sz w:val="30"/>
      <w:szCs w:val="30"/>
    </w:rPr>
  </w:style>
  <w:style w:type="character" w:customStyle="1" w:styleId="16">
    <w:name w:val="标题 3 Char"/>
    <w:basedOn w:val="11"/>
    <w:link w:val="4"/>
    <w:uiPriority w:val="9"/>
    <w:rPr>
      <w:rFonts w:ascii="Calibri" w:hAnsi="Calibri" w:cs="Times New Roman"/>
      <w:b/>
      <w:bCs/>
      <w:sz w:val="24"/>
      <w:szCs w:val="32"/>
    </w:rPr>
  </w:style>
  <w:style w:type="character" w:customStyle="1" w:styleId="17">
    <w:name w:val="标题 4 Char"/>
    <w:basedOn w:val="11"/>
    <w:link w:val="5"/>
    <w:qFormat/>
    <w:uiPriority w:val="0"/>
    <w:rPr>
      <w:rFonts w:ascii="宋体" w:hAnsi="宋体" w:cs="Times New Roman"/>
      <w:b/>
      <w:bCs/>
      <w:sz w:val="24"/>
      <w:szCs w:val="28"/>
    </w:rPr>
  </w:style>
  <w:style w:type="paragraph" w:styleId="18">
    <w:name w:val="List Paragraph"/>
    <w:basedOn w:val="1"/>
    <w:unhideWhenUsed/>
    <w:uiPriority w:val="99"/>
    <w:pPr>
      <w:ind w:firstLine="420"/>
    </w:pPr>
  </w:style>
  <w:style w:type="character" w:customStyle="1" w:styleId="19">
    <w:name w:val="文档结构图 Char"/>
    <w:basedOn w:val="11"/>
    <w:link w:val="6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20">
    <w:name w:val="页眉 Char"/>
    <w:basedOn w:val="11"/>
    <w:link w:val="8"/>
    <w:semiHidden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页脚 Char"/>
    <w:basedOn w:val="11"/>
    <w:link w:val="7"/>
    <w:semiHidden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77273-B1B6-4B31-BB7F-46C8850ABC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2491</Words>
  <Characters>2510</Characters>
  <Lines>18</Lines>
  <Paragraphs>5</Paragraphs>
  <TotalTime>147</TotalTime>
  <ScaleCrop>false</ScaleCrop>
  <LinksUpToDate>false</LinksUpToDate>
  <CharactersWithSpaces>2523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2025-01-11T08:59:00Z</dcterms:created>
  <dc:creator>xxk</dc:creator>
  <cp:lastModifiedBy>王伟毅</cp:lastModifiedBy>
  <dcterms:modified xsi:type="dcterms:W3CDTF">2025-01-16T01:27:07Z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eyJoZGlkIjoiNjRlMWE3ZTMxODU3NDcyOGFhOTUwZjUwZjQ3YjZjZDIiLCJ1c2VySWQiOiI1MjY5MTk5NjkifQ==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F8C348CAF706409AB499109587556F66_12</vt:lpwstr>
  </property>
</Properties>
</file>