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37A4C0">
      <w:pPr>
        <w:widowControl/>
        <w:jc w:val="center"/>
        <w:rPr>
          <w:rFonts w:ascii="仿宋" w:hAnsi="仿宋" w:eastAsia="仿宋" w:cs="Algerian"/>
          <w:b/>
          <w:bCs/>
          <w:kern w:val="0"/>
          <w:sz w:val="28"/>
          <w:szCs w:val="28"/>
        </w:rPr>
      </w:pPr>
      <w:r>
        <w:rPr>
          <w:rFonts w:hint="eastAsia" w:ascii="仿宋" w:hAnsi="仿宋" w:eastAsia="仿宋" w:cs="Algerian"/>
          <w:b/>
          <w:bCs/>
          <w:kern w:val="0"/>
          <w:sz w:val="28"/>
          <w:szCs w:val="28"/>
        </w:rPr>
        <w:t>厦门市中医院信息中心采购前期调研公告</w:t>
      </w:r>
    </w:p>
    <w:p w14:paraId="25064620">
      <w:pPr>
        <w:widowControl/>
        <w:jc w:val="center"/>
        <w:rPr>
          <w:rFonts w:ascii="仿宋" w:hAnsi="仿宋" w:eastAsia="仿宋" w:cs="Algerian"/>
          <w:b/>
          <w:bCs/>
          <w:kern w:val="0"/>
          <w:sz w:val="28"/>
          <w:szCs w:val="28"/>
        </w:rPr>
      </w:pPr>
      <w:r>
        <w:rPr>
          <w:rFonts w:hint="eastAsia" w:ascii="仿宋" w:hAnsi="仿宋" w:eastAsia="仿宋" w:cs="Algerian"/>
          <w:b/>
          <w:bCs/>
          <w:kern w:val="0"/>
          <w:sz w:val="28"/>
          <w:szCs w:val="28"/>
        </w:rPr>
        <w:t>（2025年</w:t>
      </w:r>
      <w:r>
        <w:rPr>
          <w:rFonts w:hint="eastAsia" w:ascii="仿宋" w:hAnsi="仿宋" w:eastAsia="仿宋" w:cs="Algerian"/>
          <w:b/>
          <w:bCs/>
          <w:kern w:val="0"/>
          <w:sz w:val="28"/>
          <w:szCs w:val="28"/>
          <w:lang w:val="en-US" w:eastAsia="zh-CN"/>
        </w:rPr>
        <w:t>9</w:t>
      </w:r>
      <w:r>
        <w:rPr>
          <w:rFonts w:hint="eastAsia" w:ascii="仿宋" w:hAnsi="仿宋" w:eastAsia="仿宋" w:cs="Algerian"/>
          <w:b/>
          <w:bCs/>
          <w:kern w:val="0"/>
          <w:sz w:val="28"/>
          <w:szCs w:val="28"/>
        </w:rPr>
        <w:t>月份）</w:t>
      </w:r>
    </w:p>
    <w:p w14:paraId="4BFA73EE">
      <w:pPr>
        <w:widowControl/>
        <w:ind w:firstLine="758" w:firstLineChars="271"/>
        <w:rPr>
          <w:rFonts w:ascii="仿宋" w:hAnsi="仿宋" w:eastAsia="仿宋" w:cs="Algerian"/>
          <w:kern w:val="0"/>
          <w:sz w:val="28"/>
          <w:szCs w:val="28"/>
        </w:rPr>
      </w:pPr>
      <w:r>
        <w:rPr>
          <w:rFonts w:hint="eastAsia" w:ascii="仿宋" w:hAnsi="仿宋" w:eastAsia="仿宋" w:cs="Algerian"/>
          <w:kern w:val="0"/>
          <w:sz w:val="28"/>
          <w:szCs w:val="28"/>
        </w:rPr>
        <w:t>我院拟对一批信息化相关项目组织采购调研，诚邀广大有志厂商积极参与调研，报名厂商应具备独立企业法人资格且有足够能力承接项目的国内企业。鼓励拥有安全、规范、自主软件研发能力企事业单位参与医院信息化高质量发展。</w:t>
      </w:r>
    </w:p>
    <w:p w14:paraId="04ADEAE2">
      <w:pPr>
        <w:widowControl/>
        <w:numPr>
          <w:ilvl w:val="0"/>
          <w:numId w:val="2"/>
        </w:numPr>
        <w:rPr>
          <w:rFonts w:ascii="仿宋" w:hAnsi="仿宋" w:eastAsia="仿宋" w:cs="Algerian"/>
          <w:kern w:val="0"/>
          <w:sz w:val="28"/>
          <w:szCs w:val="28"/>
        </w:rPr>
      </w:pPr>
      <w:r>
        <w:rPr>
          <w:rFonts w:hint="eastAsia" w:ascii="仿宋" w:hAnsi="仿宋" w:eastAsia="仿宋" w:cs="Algerian"/>
          <w:kern w:val="0"/>
          <w:sz w:val="28"/>
          <w:szCs w:val="28"/>
        </w:rPr>
        <w:t>项目内容</w:t>
      </w:r>
    </w:p>
    <w:tbl>
      <w:tblPr>
        <w:tblStyle w:val="14"/>
        <w:tblW w:w="8459" w:type="dxa"/>
        <w:jc w:val="center"/>
        <w:tblLayout w:type="autofit"/>
        <w:tblCellMar>
          <w:top w:w="0" w:type="dxa"/>
          <w:left w:w="0" w:type="dxa"/>
          <w:bottom w:w="0" w:type="dxa"/>
          <w:right w:w="0" w:type="dxa"/>
        </w:tblCellMar>
      </w:tblPr>
      <w:tblGrid>
        <w:gridCol w:w="548"/>
        <w:gridCol w:w="1882"/>
        <w:gridCol w:w="1665"/>
        <w:gridCol w:w="4364"/>
      </w:tblGrid>
      <w:tr w14:paraId="0A341331">
        <w:tblPrEx>
          <w:tblCellMar>
            <w:top w:w="0" w:type="dxa"/>
            <w:left w:w="0" w:type="dxa"/>
            <w:bottom w:w="0" w:type="dxa"/>
            <w:right w:w="0" w:type="dxa"/>
          </w:tblCellMar>
        </w:tblPrEx>
        <w:trPr>
          <w:trHeight w:val="462" w:hRule="atLeast"/>
          <w:jc w:val="center"/>
        </w:trPr>
        <w:tc>
          <w:tcPr>
            <w:tcW w:w="548"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69F1FA8E">
            <w:pPr>
              <w:jc w:val="center"/>
              <w:rPr>
                <w:rFonts w:ascii="仿宋" w:hAnsi="仿宋" w:eastAsia="仿宋" w:cs="仿宋"/>
                <w:sz w:val="24"/>
                <w:szCs w:val="24"/>
              </w:rPr>
            </w:pPr>
            <w:r>
              <w:rPr>
                <w:rFonts w:hint="eastAsia" w:ascii="仿宋" w:hAnsi="仿宋" w:eastAsia="仿宋" w:cs="仿宋"/>
                <w:sz w:val="24"/>
                <w:szCs w:val="24"/>
                <w:u w:color="000000"/>
              </w:rPr>
              <w:t>序号</w:t>
            </w:r>
          </w:p>
        </w:tc>
        <w:tc>
          <w:tcPr>
            <w:tcW w:w="1882"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08A88018">
            <w:pPr>
              <w:jc w:val="center"/>
              <w:rPr>
                <w:rFonts w:ascii="仿宋" w:hAnsi="仿宋" w:eastAsia="仿宋" w:cs="仿宋"/>
                <w:sz w:val="24"/>
                <w:szCs w:val="24"/>
              </w:rPr>
            </w:pPr>
            <w:r>
              <w:rPr>
                <w:rFonts w:hint="eastAsia" w:ascii="仿宋" w:hAnsi="仿宋" w:eastAsia="仿宋" w:cs="仿宋"/>
                <w:sz w:val="24"/>
                <w:szCs w:val="24"/>
                <w:u w:color="000000"/>
              </w:rPr>
              <w:t>项目名称</w:t>
            </w:r>
          </w:p>
        </w:tc>
        <w:tc>
          <w:tcPr>
            <w:tcW w:w="1665"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0222D485">
            <w:pPr>
              <w:jc w:val="center"/>
              <w:rPr>
                <w:rFonts w:ascii="仿宋" w:hAnsi="仿宋" w:eastAsia="仿宋" w:cs="仿宋"/>
                <w:sz w:val="24"/>
                <w:szCs w:val="24"/>
              </w:rPr>
            </w:pPr>
            <w:r>
              <w:rPr>
                <w:rFonts w:hint="eastAsia" w:ascii="仿宋" w:hAnsi="仿宋" w:eastAsia="仿宋" w:cs="仿宋"/>
                <w:sz w:val="24"/>
                <w:szCs w:val="24"/>
                <w:u w:color="000000"/>
              </w:rPr>
              <w:t>预算价</w:t>
            </w:r>
          </w:p>
        </w:tc>
        <w:tc>
          <w:tcPr>
            <w:tcW w:w="4364"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03197ACA">
            <w:pPr>
              <w:jc w:val="center"/>
              <w:rPr>
                <w:rFonts w:ascii="仿宋" w:hAnsi="仿宋" w:eastAsia="仿宋" w:cs="仿宋"/>
                <w:sz w:val="24"/>
                <w:szCs w:val="24"/>
              </w:rPr>
            </w:pPr>
            <w:r>
              <w:rPr>
                <w:rFonts w:hint="eastAsia" w:ascii="仿宋" w:hAnsi="仿宋" w:eastAsia="仿宋" w:cs="仿宋"/>
                <w:sz w:val="24"/>
                <w:szCs w:val="24"/>
                <w:u w:color="000000"/>
              </w:rPr>
              <w:t>项目简介</w:t>
            </w:r>
          </w:p>
        </w:tc>
      </w:tr>
      <w:tr w14:paraId="381FBC45">
        <w:tblPrEx>
          <w:tblCellMar>
            <w:top w:w="0" w:type="dxa"/>
            <w:left w:w="0" w:type="dxa"/>
            <w:bottom w:w="0" w:type="dxa"/>
            <w:right w:w="0" w:type="dxa"/>
          </w:tblCellMar>
        </w:tblPrEx>
        <w:trPr>
          <w:trHeight w:val="725" w:hRule="atLeast"/>
          <w:jc w:val="center"/>
        </w:trPr>
        <w:tc>
          <w:tcPr>
            <w:tcW w:w="548"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5DC62C98">
            <w:pPr>
              <w:jc w:val="center"/>
              <w:rPr>
                <w:rFonts w:hint="default" w:ascii="仿宋" w:hAnsi="仿宋" w:eastAsia="仿宋" w:cs="Algerian"/>
                <w:kern w:val="0"/>
                <w:sz w:val="24"/>
                <w:szCs w:val="24"/>
                <w:lang w:val="en-US" w:eastAsia="zh-CN"/>
              </w:rPr>
            </w:pPr>
            <w:r>
              <w:rPr>
                <w:rFonts w:hint="eastAsia" w:ascii="仿宋" w:hAnsi="仿宋" w:eastAsia="仿宋" w:cs="Algerian"/>
                <w:kern w:val="0"/>
                <w:sz w:val="24"/>
                <w:szCs w:val="24"/>
                <w:lang w:val="en-US" w:eastAsia="zh-CN"/>
              </w:rPr>
              <w:t>1</w:t>
            </w:r>
          </w:p>
        </w:tc>
        <w:tc>
          <w:tcPr>
            <w:tcW w:w="1882"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276830ED">
            <w:pPr>
              <w:rPr>
                <w:rFonts w:hint="eastAsia" w:ascii="仿宋" w:hAnsi="仿宋" w:eastAsia="仿宋" w:cs="Helvetica"/>
                <w:kern w:val="0"/>
                <w:sz w:val="24"/>
                <w:szCs w:val="24"/>
              </w:rPr>
            </w:pPr>
            <w:r>
              <w:rPr>
                <w:rFonts w:hint="eastAsia" w:ascii="仿宋" w:hAnsi="仿宋" w:eastAsia="仿宋" w:cs="Helvetica"/>
                <w:kern w:val="0"/>
                <w:sz w:val="24"/>
                <w:szCs w:val="24"/>
              </w:rPr>
              <w:t>智能输血管理系统</w:t>
            </w:r>
          </w:p>
        </w:tc>
        <w:tc>
          <w:tcPr>
            <w:tcW w:w="1665"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7AC6101C">
            <w:pPr>
              <w:widowControl/>
              <w:jc w:val="center"/>
              <w:rPr>
                <w:rFonts w:hint="default"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45万元</w:t>
            </w:r>
          </w:p>
        </w:tc>
        <w:tc>
          <w:tcPr>
            <w:tcW w:w="4364"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07B5F257">
            <w:pPr>
              <w:pStyle w:val="5"/>
              <w:ind w:firstLine="0"/>
              <w:rPr>
                <w:rFonts w:hint="eastAsia"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本项目</w:t>
            </w:r>
            <w:r>
              <w:rPr>
                <w:rFonts w:hint="eastAsia" w:ascii="仿宋" w:hAnsi="仿宋" w:eastAsia="仿宋" w:cs="Helvetica"/>
                <w:kern w:val="0"/>
                <w:sz w:val="24"/>
                <w:szCs w:val="24"/>
              </w:rPr>
              <w:t>主要业务和功能需求</w:t>
            </w:r>
            <w:r>
              <w:rPr>
                <w:rFonts w:hint="eastAsia" w:ascii="仿宋" w:hAnsi="仿宋" w:eastAsia="仿宋" w:cs="Helvetica"/>
                <w:kern w:val="0"/>
                <w:sz w:val="24"/>
                <w:szCs w:val="24"/>
                <w:lang w:val="en-US" w:eastAsia="zh-CN"/>
              </w:rPr>
              <w:t>：</w:t>
            </w:r>
          </w:p>
          <w:p w14:paraId="5E2C764F">
            <w:pPr>
              <w:pStyle w:val="5"/>
              <w:ind w:firstLine="0"/>
              <w:rPr>
                <w:rFonts w:hint="eastAsia"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1.</w:t>
            </w:r>
            <w:r>
              <w:rPr>
                <w:rFonts w:hint="eastAsia" w:ascii="仿宋" w:hAnsi="仿宋" w:eastAsia="仿宋" w:cs="Helvetica"/>
                <w:kern w:val="0"/>
                <w:sz w:val="24"/>
                <w:szCs w:val="24"/>
                <w:lang w:val="en-US" w:eastAsia="zh-CN"/>
              </w:rPr>
              <w:tab/>
            </w:r>
            <w:r>
              <w:rPr>
                <w:rFonts w:hint="eastAsia" w:ascii="仿宋" w:hAnsi="仿宋" w:eastAsia="仿宋" w:cs="Helvetica"/>
                <w:kern w:val="0"/>
                <w:sz w:val="24"/>
                <w:szCs w:val="24"/>
                <w:lang w:val="en-US" w:eastAsia="zh-CN"/>
              </w:rPr>
              <w:t>满足层级管理需求</w:t>
            </w:r>
          </w:p>
          <w:p w14:paraId="3EE1C752">
            <w:pPr>
              <w:pStyle w:val="5"/>
              <w:ind w:firstLine="0"/>
              <w:rPr>
                <w:rFonts w:hint="eastAsia"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按照我院组织架构要求，实现医疗机构-院区-输血科-专业组-仪器-分析单元层级架构实现实验室全方位管理，统一技术架构、统一数据标准、方便部署和维护；能实现系统间的整合，提供单点登录。</w:t>
            </w:r>
          </w:p>
          <w:p w14:paraId="5C399B00">
            <w:pPr>
              <w:pStyle w:val="5"/>
              <w:ind w:firstLine="0"/>
              <w:rPr>
                <w:rFonts w:hint="eastAsia"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2.</w:t>
            </w:r>
            <w:r>
              <w:rPr>
                <w:rFonts w:hint="eastAsia" w:ascii="仿宋" w:hAnsi="仿宋" w:eastAsia="仿宋" w:cs="Helvetica"/>
                <w:kern w:val="0"/>
                <w:sz w:val="24"/>
                <w:szCs w:val="24"/>
                <w:lang w:val="en-US" w:eastAsia="zh-CN"/>
              </w:rPr>
              <w:tab/>
            </w:r>
            <w:r>
              <w:rPr>
                <w:rFonts w:hint="eastAsia" w:ascii="仿宋" w:hAnsi="仿宋" w:eastAsia="仿宋" w:cs="Helvetica"/>
                <w:kern w:val="0"/>
                <w:sz w:val="24"/>
                <w:szCs w:val="24"/>
                <w:lang w:val="en-US" w:eastAsia="zh-CN"/>
              </w:rPr>
              <w:t>系统间互联互通</w:t>
            </w:r>
          </w:p>
          <w:p w14:paraId="457E84FE">
            <w:pPr>
              <w:pStyle w:val="5"/>
              <w:ind w:firstLine="0"/>
              <w:rPr>
                <w:rFonts w:hint="eastAsia"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输血系统与HIS、电子病历、LIS、手术麻醉等多个系统存在数据交互需求，因此需考虑三个层面的集成：数据、应用和流程，即各应用系统在数据层面可以相互交换，在应用层面可以互相调用，在流程层面可以协同在一起实现全院级的业务协同。</w:t>
            </w:r>
          </w:p>
          <w:p w14:paraId="45610E1B">
            <w:pPr>
              <w:pStyle w:val="5"/>
              <w:ind w:firstLine="0"/>
              <w:rPr>
                <w:rFonts w:hint="eastAsia"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3.</w:t>
            </w:r>
            <w:r>
              <w:rPr>
                <w:rFonts w:hint="eastAsia" w:ascii="仿宋" w:hAnsi="仿宋" w:eastAsia="仿宋" w:cs="Helvetica"/>
                <w:kern w:val="0"/>
                <w:sz w:val="24"/>
                <w:szCs w:val="24"/>
                <w:lang w:val="en-US" w:eastAsia="zh-CN"/>
              </w:rPr>
              <w:tab/>
            </w:r>
            <w:r>
              <w:rPr>
                <w:rFonts w:hint="eastAsia" w:ascii="仿宋" w:hAnsi="仿宋" w:eastAsia="仿宋" w:cs="Helvetica"/>
                <w:kern w:val="0"/>
                <w:sz w:val="24"/>
                <w:szCs w:val="24"/>
                <w:lang w:val="en-US" w:eastAsia="zh-CN"/>
              </w:rPr>
              <w:t>用血闭环管理需求</w:t>
            </w:r>
          </w:p>
          <w:p w14:paraId="64063A6F">
            <w:pPr>
              <w:pStyle w:val="5"/>
              <w:ind w:firstLine="0"/>
              <w:rPr>
                <w:rFonts w:hint="eastAsia"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按照临床用血相关政策规范要求，实现用血审批闭环管理、输血反应闭环管理、血液报废闭环管理、线上审批的信息化应用功能。</w:t>
            </w:r>
          </w:p>
          <w:p w14:paraId="6FA23FDA">
            <w:pPr>
              <w:pStyle w:val="5"/>
              <w:ind w:firstLine="0"/>
              <w:rPr>
                <w:rFonts w:hint="eastAsia"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4.</w:t>
            </w:r>
            <w:r>
              <w:rPr>
                <w:rFonts w:hint="eastAsia" w:ascii="仿宋" w:hAnsi="仿宋" w:eastAsia="仿宋" w:cs="Helvetica"/>
                <w:kern w:val="0"/>
                <w:sz w:val="24"/>
                <w:szCs w:val="24"/>
                <w:lang w:val="en-US" w:eastAsia="zh-CN"/>
              </w:rPr>
              <w:tab/>
            </w:r>
            <w:r>
              <w:rPr>
                <w:rFonts w:hint="eastAsia" w:ascii="仿宋" w:hAnsi="仿宋" w:eastAsia="仿宋" w:cs="Helvetica"/>
                <w:kern w:val="0"/>
                <w:sz w:val="24"/>
                <w:szCs w:val="24"/>
                <w:lang w:val="en-US" w:eastAsia="zh-CN"/>
              </w:rPr>
              <w:t>质量管控需求</w:t>
            </w:r>
          </w:p>
          <w:p w14:paraId="5BC7E6C9">
            <w:pPr>
              <w:pStyle w:val="5"/>
              <w:ind w:firstLine="0"/>
              <w:rPr>
                <w:rFonts w:hint="eastAsia"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通过输血科质控工作站协助输血科加强室内质控管理工作；利用输血科大屏监控实时掌握全院用血状况，对异常情况预警报警。</w:t>
            </w:r>
          </w:p>
          <w:p w14:paraId="43D134A7">
            <w:pPr>
              <w:pStyle w:val="5"/>
              <w:ind w:firstLine="0"/>
              <w:rPr>
                <w:rFonts w:hint="eastAsia"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5.</w:t>
            </w:r>
            <w:r>
              <w:rPr>
                <w:rFonts w:hint="eastAsia" w:ascii="仿宋" w:hAnsi="仿宋" w:eastAsia="仿宋" w:cs="Helvetica"/>
                <w:kern w:val="0"/>
                <w:sz w:val="24"/>
                <w:szCs w:val="24"/>
                <w:lang w:val="en-US" w:eastAsia="zh-CN"/>
              </w:rPr>
              <w:tab/>
            </w:r>
            <w:r>
              <w:rPr>
                <w:rFonts w:hint="eastAsia" w:ascii="仿宋" w:hAnsi="仿宋" w:eastAsia="仿宋" w:cs="Helvetica"/>
                <w:kern w:val="0"/>
                <w:sz w:val="24"/>
                <w:szCs w:val="24"/>
                <w:lang w:val="en-US" w:eastAsia="zh-CN"/>
              </w:rPr>
              <w:t>服务临床需求</w:t>
            </w:r>
          </w:p>
          <w:p w14:paraId="21234492">
            <w:pPr>
              <w:pStyle w:val="5"/>
              <w:ind w:firstLine="0"/>
              <w:rPr>
                <w:rFonts w:hint="eastAsia"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对用血医生站和用血护士站功能升级，与其他功能相匹配，借助B_CDS(输血辅助决策)、输血消息平台提升工作效率和加强用血指导。</w:t>
            </w:r>
          </w:p>
          <w:p w14:paraId="742E202B">
            <w:pPr>
              <w:pStyle w:val="5"/>
              <w:ind w:firstLine="0"/>
              <w:rPr>
                <w:rFonts w:hint="eastAsia"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6.</w:t>
            </w:r>
            <w:r>
              <w:rPr>
                <w:rFonts w:hint="eastAsia" w:ascii="仿宋" w:hAnsi="仿宋" w:eastAsia="仿宋" w:cs="Helvetica"/>
                <w:kern w:val="0"/>
                <w:sz w:val="24"/>
                <w:szCs w:val="24"/>
                <w:lang w:val="en-US" w:eastAsia="zh-CN"/>
              </w:rPr>
              <w:tab/>
            </w:r>
            <w:r>
              <w:rPr>
                <w:rFonts w:hint="eastAsia" w:ascii="仿宋" w:hAnsi="仿宋" w:eastAsia="仿宋" w:cs="Helvetica"/>
                <w:kern w:val="0"/>
                <w:sz w:val="24"/>
                <w:szCs w:val="24"/>
                <w:lang w:val="en-US" w:eastAsia="zh-CN"/>
              </w:rPr>
              <w:t>科学决策及数据上报管理需求</w:t>
            </w:r>
          </w:p>
          <w:p w14:paraId="7CB0AD24">
            <w:pPr>
              <w:pStyle w:val="5"/>
              <w:ind w:firstLine="0"/>
              <w:rPr>
                <w:rFonts w:hint="eastAsia"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通过用血可视化分析BI、用血质量控制指标管理模块提供决策所需数据，并按照按照国家卫生健康委发布《关于印发临床用血质量控制指标（2019年版）的通知》要求完成指标数据上报。</w:t>
            </w:r>
          </w:p>
          <w:p w14:paraId="47CDD70C">
            <w:pPr>
              <w:pStyle w:val="5"/>
              <w:ind w:firstLine="0"/>
              <w:rPr>
                <w:rFonts w:hint="default"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（二次公告）</w:t>
            </w:r>
          </w:p>
        </w:tc>
      </w:tr>
      <w:tr w14:paraId="3E337C1E">
        <w:tblPrEx>
          <w:tblCellMar>
            <w:top w:w="0" w:type="dxa"/>
            <w:left w:w="0" w:type="dxa"/>
            <w:bottom w:w="0" w:type="dxa"/>
            <w:right w:w="0" w:type="dxa"/>
          </w:tblCellMar>
        </w:tblPrEx>
        <w:trPr>
          <w:trHeight w:val="725" w:hRule="atLeast"/>
          <w:jc w:val="center"/>
        </w:trPr>
        <w:tc>
          <w:tcPr>
            <w:tcW w:w="548"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03F2AFCF">
            <w:pPr>
              <w:jc w:val="center"/>
              <w:rPr>
                <w:rFonts w:hint="default" w:ascii="仿宋" w:hAnsi="仿宋" w:eastAsia="仿宋" w:cs="Algerian"/>
                <w:kern w:val="0"/>
                <w:sz w:val="24"/>
                <w:szCs w:val="24"/>
                <w:lang w:val="en-US" w:eastAsia="zh-CN"/>
              </w:rPr>
            </w:pPr>
            <w:r>
              <w:rPr>
                <w:rFonts w:hint="eastAsia" w:ascii="仿宋" w:hAnsi="仿宋" w:eastAsia="仿宋" w:cs="Algerian"/>
                <w:kern w:val="0"/>
                <w:sz w:val="24"/>
                <w:szCs w:val="24"/>
                <w:lang w:val="en-US" w:eastAsia="zh-CN"/>
              </w:rPr>
              <w:t>2</w:t>
            </w:r>
          </w:p>
        </w:tc>
        <w:tc>
          <w:tcPr>
            <w:tcW w:w="1882"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00E367C2">
            <w:pPr>
              <w:rPr>
                <w:rFonts w:hint="eastAsia" w:ascii="仿宋" w:hAnsi="仿宋" w:eastAsia="仿宋" w:cs="Helvetica"/>
                <w:kern w:val="0"/>
                <w:sz w:val="24"/>
                <w:szCs w:val="24"/>
              </w:rPr>
            </w:pPr>
            <w:r>
              <w:rPr>
                <w:rFonts w:hint="eastAsia" w:ascii="仿宋" w:hAnsi="仿宋" w:eastAsia="仿宋" w:cs="Helvetica"/>
                <w:kern w:val="0"/>
                <w:sz w:val="24"/>
                <w:szCs w:val="24"/>
              </w:rPr>
              <w:t>药物信息查询系统</w:t>
            </w:r>
          </w:p>
        </w:tc>
        <w:tc>
          <w:tcPr>
            <w:tcW w:w="1665"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27922381">
            <w:pPr>
              <w:widowControl/>
              <w:jc w:val="center"/>
              <w:rPr>
                <w:rFonts w:hint="default"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18万元</w:t>
            </w:r>
          </w:p>
        </w:tc>
        <w:tc>
          <w:tcPr>
            <w:tcW w:w="4364"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2D3F3BB1">
            <w:pPr>
              <w:pStyle w:val="5"/>
              <w:ind w:firstLine="0"/>
              <w:rPr>
                <w:rFonts w:hint="eastAsia" w:ascii="仿宋" w:hAnsi="仿宋" w:eastAsia="仿宋" w:cs="Helvetica"/>
                <w:kern w:val="0"/>
                <w:sz w:val="24"/>
                <w:szCs w:val="24"/>
              </w:rPr>
            </w:pPr>
            <w:r>
              <w:rPr>
                <w:rFonts w:hint="eastAsia" w:ascii="仿宋" w:hAnsi="仿宋" w:eastAsia="仿宋" w:cs="Helvetica"/>
                <w:kern w:val="0"/>
                <w:sz w:val="24"/>
                <w:szCs w:val="24"/>
                <w:lang w:val="en-US" w:eastAsia="zh-CN"/>
              </w:rPr>
              <w:t>本项目</w:t>
            </w:r>
            <w:r>
              <w:rPr>
                <w:rFonts w:hint="eastAsia" w:ascii="仿宋" w:hAnsi="仿宋" w:eastAsia="仿宋" w:cs="Helvetica"/>
                <w:kern w:val="0"/>
                <w:sz w:val="24"/>
                <w:szCs w:val="24"/>
              </w:rPr>
              <w:t>功能要求</w:t>
            </w:r>
          </w:p>
          <w:p w14:paraId="4F36CCA2">
            <w:pPr>
              <w:pStyle w:val="5"/>
              <w:ind w:firstLine="0"/>
              <w:rPr>
                <w:rFonts w:hint="eastAsia" w:ascii="仿宋" w:hAnsi="仿宋" w:eastAsia="仿宋" w:cs="Helvetica"/>
                <w:kern w:val="0"/>
                <w:sz w:val="24"/>
                <w:szCs w:val="24"/>
              </w:rPr>
            </w:pPr>
            <w:r>
              <w:rPr>
                <w:rFonts w:hint="eastAsia" w:ascii="仿宋" w:hAnsi="仿宋" w:eastAsia="仿宋" w:cs="Helvetica"/>
                <w:kern w:val="0"/>
                <w:sz w:val="24"/>
                <w:szCs w:val="24"/>
              </w:rPr>
              <w:t>（1）数据库查询功能：能够提供药物专论、药品基本信息、药品说明书、妊娠哺乳用药、用药教育、临床指南、药物相互作用、注射剂配伍、超说明书用药、儿童用药、ICD编码、药物比较、 ATC编码与DDD值、检验值、临床路径、医药公式、国家基本药物、 FDA妊娠分级、MCDEX时讯、医药法规、中药材、中医方剂、中医诊疗方案、中医临床路径、中医标准与术语、中医病症分类与代码、EMA药品说明书、FDA药品说明书等查询功能</w:t>
            </w:r>
          </w:p>
          <w:p w14:paraId="0A3AE435">
            <w:pPr>
              <w:pStyle w:val="5"/>
              <w:ind w:firstLine="0"/>
              <w:rPr>
                <w:rFonts w:hint="eastAsia" w:ascii="仿宋" w:hAnsi="仿宋" w:eastAsia="仿宋" w:cs="Helvetica"/>
                <w:kern w:val="0"/>
                <w:sz w:val="24"/>
                <w:szCs w:val="24"/>
              </w:rPr>
            </w:pPr>
            <w:r>
              <w:rPr>
                <w:rFonts w:hint="eastAsia" w:ascii="仿宋" w:hAnsi="仿宋" w:eastAsia="仿宋" w:cs="Helvetica"/>
                <w:kern w:val="0"/>
                <w:sz w:val="24"/>
                <w:szCs w:val="24"/>
              </w:rPr>
              <w:t>（2）支持内网和手机端均可以使用查询系统</w:t>
            </w:r>
          </w:p>
          <w:p w14:paraId="1E0BEB76">
            <w:pPr>
              <w:pStyle w:val="5"/>
              <w:ind w:firstLine="0"/>
              <w:rPr>
                <w:rFonts w:hint="eastAsia" w:ascii="仿宋" w:hAnsi="仿宋" w:eastAsia="仿宋" w:cs="Helvetica"/>
                <w:kern w:val="0"/>
                <w:sz w:val="24"/>
                <w:szCs w:val="24"/>
              </w:rPr>
            </w:pPr>
            <w:r>
              <w:rPr>
                <w:rFonts w:hint="eastAsia" w:ascii="仿宋" w:hAnsi="仿宋" w:eastAsia="仿宋" w:cs="Helvetica"/>
                <w:kern w:val="0"/>
                <w:sz w:val="24"/>
                <w:szCs w:val="24"/>
              </w:rPr>
              <w:t>（3）外文说明指南提供翻译功能</w:t>
            </w:r>
          </w:p>
          <w:p w14:paraId="1045083E">
            <w:pPr>
              <w:pStyle w:val="5"/>
              <w:ind w:firstLine="0"/>
              <w:rPr>
                <w:rFonts w:hint="eastAsia" w:ascii="仿宋" w:hAnsi="仿宋" w:eastAsia="仿宋" w:cs="Helvetica"/>
                <w:kern w:val="0"/>
                <w:sz w:val="24"/>
                <w:szCs w:val="24"/>
              </w:rPr>
            </w:pPr>
            <w:r>
              <w:rPr>
                <w:rFonts w:hint="eastAsia" w:ascii="仿宋" w:hAnsi="仿宋" w:eastAsia="仿宋" w:cs="Helvetica"/>
                <w:kern w:val="0"/>
                <w:sz w:val="24"/>
                <w:szCs w:val="24"/>
                <w:lang w:val="en-US" w:eastAsia="zh-CN"/>
              </w:rPr>
              <w:t>本项目</w:t>
            </w:r>
            <w:r>
              <w:rPr>
                <w:rFonts w:hint="eastAsia" w:ascii="仿宋" w:hAnsi="仿宋" w:eastAsia="仿宋" w:cs="Helvetica"/>
                <w:kern w:val="0"/>
                <w:sz w:val="24"/>
                <w:szCs w:val="24"/>
              </w:rPr>
              <w:t>其他要求</w:t>
            </w:r>
          </w:p>
          <w:p w14:paraId="1CE18BB0">
            <w:pPr>
              <w:pStyle w:val="5"/>
              <w:ind w:firstLine="0"/>
              <w:rPr>
                <w:rFonts w:hint="eastAsia" w:ascii="仿宋" w:hAnsi="仿宋" w:eastAsia="仿宋" w:cs="Helvetica"/>
                <w:kern w:val="0"/>
                <w:sz w:val="24"/>
                <w:szCs w:val="24"/>
              </w:rPr>
            </w:pPr>
            <w:r>
              <w:rPr>
                <w:rFonts w:hint="eastAsia" w:ascii="仿宋" w:hAnsi="仿宋" w:eastAsia="仿宋" w:cs="Helvetica"/>
                <w:kern w:val="0"/>
                <w:sz w:val="24"/>
                <w:szCs w:val="24"/>
              </w:rPr>
              <w:t>（1）每年至少提供10次或以上说明书或数据库内容进行更新</w:t>
            </w:r>
          </w:p>
          <w:p w14:paraId="682882CD">
            <w:pPr>
              <w:pStyle w:val="5"/>
              <w:ind w:firstLine="0"/>
              <w:rPr>
                <w:rFonts w:hint="eastAsia" w:ascii="仿宋" w:hAnsi="仿宋" w:eastAsia="仿宋" w:cs="Helvetica"/>
                <w:kern w:val="0"/>
                <w:sz w:val="24"/>
                <w:szCs w:val="24"/>
              </w:rPr>
            </w:pPr>
            <w:r>
              <w:rPr>
                <w:rFonts w:hint="eastAsia" w:ascii="仿宋" w:hAnsi="仿宋" w:eastAsia="仿宋" w:cs="Helvetica"/>
                <w:kern w:val="0"/>
                <w:sz w:val="24"/>
                <w:szCs w:val="24"/>
              </w:rPr>
              <w:t>（2）手机端提供200个或以上的手机客户端账户（支持安卓、苹果、鸿蒙等操作系统）支持账户用户名密码登录</w:t>
            </w:r>
          </w:p>
          <w:p w14:paraId="2492BF73">
            <w:pPr>
              <w:pStyle w:val="5"/>
              <w:ind w:firstLine="0"/>
              <w:rPr>
                <w:rFonts w:hint="eastAsia" w:ascii="仿宋" w:hAnsi="仿宋" w:eastAsia="仿宋" w:cs="Helvetica"/>
                <w:kern w:val="0"/>
                <w:sz w:val="24"/>
                <w:szCs w:val="24"/>
              </w:rPr>
            </w:pPr>
            <w:r>
              <w:rPr>
                <w:rFonts w:hint="eastAsia" w:ascii="仿宋" w:hAnsi="仿宋" w:eastAsia="仿宋" w:cs="Helvetica"/>
                <w:kern w:val="0"/>
                <w:sz w:val="24"/>
                <w:szCs w:val="24"/>
              </w:rPr>
              <w:t>（3）包含免费3年维保期（授权期）</w:t>
            </w:r>
          </w:p>
          <w:p w14:paraId="7557E38E">
            <w:pPr>
              <w:pStyle w:val="6"/>
              <w:ind w:left="0" w:leftChars="0" w:firstLine="0" w:firstLineChars="0"/>
              <w:rPr>
                <w:rFonts w:hint="eastAsia"/>
              </w:rPr>
            </w:pPr>
            <w:r>
              <w:rPr>
                <w:rFonts w:hint="eastAsia" w:ascii="仿宋" w:hAnsi="仿宋" w:eastAsia="仿宋" w:cs="Helvetica"/>
                <w:kern w:val="0"/>
                <w:sz w:val="24"/>
                <w:szCs w:val="24"/>
                <w:lang w:val="en-US" w:eastAsia="zh-CN"/>
              </w:rPr>
              <w:t>（二次公告）</w:t>
            </w:r>
          </w:p>
        </w:tc>
      </w:tr>
      <w:tr w14:paraId="4F69E222">
        <w:tblPrEx>
          <w:tblCellMar>
            <w:top w:w="0" w:type="dxa"/>
            <w:left w:w="0" w:type="dxa"/>
            <w:bottom w:w="0" w:type="dxa"/>
            <w:right w:w="0" w:type="dxa"/>
          </w:tblCellMar>
        </w:tblPrEx>
        <w:trPr>
          <w:trHeight w:val="725" w:hRule="atLeast"/>
          <w:jc w:val="center"/>
        </w:trPr>
        <w:tc>
          <w:tcPr>
            <w:tcW w:w="548"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7498F349">
            <w:pPr>
              <w:jc w:val="center"/>
              <w:rPr>
                <w:rFonts w:hint="default" w:ascii="仿宋" w:hAnsi="仿宋" w:eastAsia="仿宋" w:cs="Algerian"/>
                <w:kern w:val="0"/>
                <w:sz w:val="24"/>
                <w:szCs w:val="24"/>
                <w:lang w:val="en-US" w:eastAsia="zh-CN"/>
              </w:rPr>
            </w:pPr>
            <w:r>
              <w:rPr>
                <w:rFonts w:hint="eastAsia" w:ascii="仿宋" w:hAnsi="仿宋" w:eastAsia="仿宋" w:cs="Algerian"/>
                <w:kern w:val="0"/>
                <w:sz w:val="24"/>
                <w:szCs w:val="24"/>
                <w:lang w:val="en-US" w:eastAsia="zh-CN"/>
              </w:rPr>
              <w:t>3</w:t>
            </w:r>
          </w:p>
        </w:tc>
        <w:tc>
          <w:tcPr>
            <w:tcW w:w="1882"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15E23971">
            <w:pPr>
              <w:rPr>
                <w:rFonts w:hint="eastAsia" w:ascii="仿宋" w:hAnsi="仿宋" w:eastAsia="仿宋" w:cs="Helvetica"/>
                <w:kern w:val="0"/>
                <w:sz w:val="24"/>
                <w:szCs w:val="24"/>
              </w:rPr>
            </w:pPr>
            <w:r>
              <w:rPr>
                <w:rFonts w:hint="eastAsia" w:ascii="仿宋" w:hAnsi="仿宋" w:eastAsia="仿宋" w:cs="Helvetica"/>
                <w:kern w:val="0"/>
                <w:sz w:val="24"/>
                <w:szCs w:val="24"/>
              </w:rPr>
              <w:t>床旁检验系统（POCT）</w:t>
            </w:r>
          </w:p>
        </w:tc>
        <w:tc>
          <w:tcPr>
            <w:tcW w:w="1665"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383225D9">
            <w:pPr>
              <w:widowControl/>
              <w:jc w:val="center"/>
              <w:rPr>
                <w:rFonts w:hint="default"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15万元</w:t>
            </w:r>
          </w:p>
        </w:tc>
        <w:tc>
          <w:tcPr>
            <w:tcW w:w="4364"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04128C53">
            <w:pPr>
              <w:pStyle w:val="5"/>
              <w:ind w:firstLine="0"/>
              <w:rPr>
                <w:rFonts w:hint="eastAsia" w:ascii="仿宋" w:hAnsi="仿宋" w:eastAsia="仿宋" w:cs="Helvetica"/>
                <w:kern w:val="0"/>
                <w:sz w:val="24"/>
                <w:szCs w:val="24"/>
              </w:rPr>
            </w:pPr>
            <w:r>
              <w:rPr>
                <w:rFonts w:hint="eastAsia" w:ascii="仿宋" w:hAnsi="仿宋" w:eastAsia="仿宋" w:cs="Helvetica"/>
                <w:kern w:val="0"/>
                <w:sz w:val="24"/>
                <w:szCs w:val="24"/>
                <w:lang w:val="en-US" w:eastAsia="zh-CN"/>
              </w:rPr>
              <w:t>本项目可以</w:t>
            </w:r>
            <w:r>
              <w:rPr>
                <w:rFonts w:hint="eastAsia" w:ascii="仿宋" w:hAnsi="仿宋" w:eastAsia="仿宋" w:cs="Helvetica"/>
                <w:kern w:val="0"/>
                <w:sz w:val="24"/>
                <w:szCs w:val="24"/>
              </w:rPr>
              <w:t>实现从检测医嘱的下达、样本的采集、检测的实施到结果的反馈以及危急值的管理都在一个闭环系统内进行，且数据能够实时更新并互相验证。</w:t>
            </w:r>
          </w:p>
          <w:p w14:paraId="3154C883">
            <w:pPr>
              <w:pStyle w:val="5"/>
              <w:ind w:firstLine="0"/>
              <w:rPr>
                <w:rFonts w:hint="eastAsia" w:ascii="仿宋" w:hAnsi="仿宋" w:eastAsia="仿宋" w:cs="Helvetica"/>
                <w:kern w:val="0"/>
                <w:sz w:val="24"/>
                <w:szCs w:val="24"/>
              </w:rPr>
            </w:pPr>
            <w:r>
              <w:rPr>
                <w:rFonts w:hint="eastAsia" w:ascii="仿宋" w:hAnsi="仿宋" w:eastAsia="仿宋" w:cs="Helvetica"/>
                <w:kern w:val="0"/>
                <w:sz w:val="24"/>
                <w:szCs w:val="24"/>
                <w:lang w:val="en-US" w:eastAsia="zh-CN"/>
              </w:rPr>
              <w:t>（二次公告）</w:t>
            </w:r>
          </w:p>
        </w:tc>
      </w:tr>
      <w:tr w14:paraId="29295163">
        <w:tblPrEx>
          <w:tblCellMar>
            <w:top w:w="0" w:type="dxa"/>
            <w:left w:w="0" w:type="dxa"/>
            <w:bottom w:w="0" w:type="dxa"/>
            <w:right w:w="0" w:type="dxa"/>
          </w:tblCellMar>
        </w:tblPrEx>
        <w:trPr>
          <w:trHeight w:val="725" w:hRule="atLeast"/>
          <w:jc w:val="center"/>
        </w:trPr>
        <w:tc>
          <w:tcPr>
            <w:tcW w:w="548"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761AB672">
            <w:pPr>
              <w:jc w:val="center"/>
              <w:rPr>
                <w:rFonts w:hint="default" w:ascii="仿宋" w:hAnsi="仿宋" w:eastAsia="仿宋" w:cs="Algerian"/>
                <w:kern w:val="0"/>
                <w:sz w:val="24"/>
                <w:szCs w:val="24"/>
                <w:lang w:val="en-US" w:eastAsia="zh-CN"/>
              </w:rPr>
            </w:pPr>
            <w:r>
              <w:rPr>
                <w:rFonts w:hint="eastAsia" w:ascii="仿宋" w:hAnsi="仿宋" w:eastAsia="仿宋" w:cs="Algerian"/>
                <w:kern w:val="0"/>
                <w:sz w:val="24"/>
                <w:szCs w:val="24"/>
                <w:lang w:val="en-US" w:eastAsia="zh-CN"/>
              </w:rPr>
              <w:t>4</w:t>
            </w:r>
          </w:p>
        </w:tc>
        <w:tc>
          <w:tcPr>
            <w:tcW w:w="1882"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6F2249CA">
            <w:pPr>
              <w:rPr>
                <w:rFonts w:hint="eastAsia" w:ascii="仿宋" w:hAnsi="仿宋" w:cs="Helvetica" w:eastAsiaTheme="minorEastAsia"/>
                <w:kern w:val="0"/>
                <w:sz w:val="24"/>
                <w:szCs w:val="24"/>
                <w:lang w:val="en-US" w:eastAsia="zh-CN"/>
              </w:rPr>
            </w:pPr>
            <w:r>
              <w:rPr>
                <w:rFonts w:hint="eastAsia" w:ascii="仿宋" w:hAnsi="仿宋" w:eastAsia="仿宋" w:cs="Helvetica"/>
                <w:kern w:val="0"/>
                <w:sz w:val="24"/>
                <w:szCs w:val="24"/>
              </w:rPr>
              <w:t>耗材管理系统升级及UDI改造</w:t>
            </w:r>
            <w:r>
              <w:rPr>
                <w:rFonts w:hint="eastAsia" w:ascii="仿宋" w:hAnsi="仿宋" w:eastAsia="仿宋" w:cs="Helvetica"/>
                <w:kern w:val="0"/>
                <w:sz w:val="24"/>
                <w:szCs w:val="24"/>
                <w:lang w:val="en-US" w:eastAsia="zh-CN"/>
              </w:rPr>
              <w:t>项目</w:t>
            </w:r>
          </w:p>
        </w:tc>
        <w:tc>
          <w:tcPr>
            <w:tcW w:w="1665"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57289BFD">
            <w:pPr>
              <w:widowControl/>
              <w:jc w:val="center"/>
              <w:rPr>
                <w:rFonts w:hint="default"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40万元</w:t>
            </w:r>
          </w:p>
        </w:tc>
        <w:tc>
          <w:tcPr>
            <w:tcW w:w="4364"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67E5251A">
            <w:pPr>
              <w:pStyle w:val="5"/>
              <w:ind w:firstLine="0"/>
              <w:rPr>
                <w:rFonts w:hint="eastAsia"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本项目的功能需求包含：UDI 编码生成与解析、库存即时动态监控、使用环节数据采集、数据统计分析等模块并按规范追溯码上传到国家医保平台等；增加集采模块，做到按项目或按科室统计并提示进度；高值医用耗材使用监测功能；与厦门健康网平台对接、采购结果上传；使用追溯中同步使用耗材的患者手术信息（手术号、手术编码、手术名称等），与现有的物资系统需实现数据互联互通，并且承担相应的所有接口费用。</w:t>
            </w:r>
          </w:p>
        </w:tc>
      </w:tr>
      <w:tr w14:paraId="5B0E2592">
        <w:tblPrEx>
          <w:tblCellMar>
            <w:top w:w="0" w:type="dxa"/>
            <w:left w:w="0" w:type="dxa"/>
            <w:bottom w:w="0" w:type="dxa"/>
            <w:right w:w="0" w:type="dxa"/>
          </w:tblCellMar>
        </w:tblPrEx>
        <w:trPr>
          <w:trHeight w:val="725" w:hRule="atLeast"/>
          <w:jc w:val="center"/>
        </w:trPr>
        <w:tc>
          <w:tcPr>
            <w:tcW w:w="548"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0083EC18">
            <w:pPr>
              <w:jc w:val="center"/>
              <w:rPr>
                <w:rFonts w:hint="default" w:ascii="仿宋" w:hAnsi="仿宋" w:eastAsia="仿宋" w:cs="Algerian"/>
                <w:kern w:val="0"/>
                <w:sz w:val="24"/>
                <w:szCs w:val="24"/>
                <w:lang w:val="en-US" w:eastAsia="zh-CN"/>
              </w:rPr>
            </w:pPr>
            <w:r>
              <w:rPr>
                <w:rFonts w:hint="eastAsia" w:ascii="仿宋" w:hAnsi="仿宋" w:eastAsia="仿宋" w:cs="Algerian"/>
                <w:kern w:val="0"/>
                <w:sz w:val="24"/>
                <w:szCs w:val="24"/>
                <w:lang w:val="en-US" w:eastAsia="zh-CN"/>
              </w:rPr>
              <w:t>5</w:t>
            </w:r>
          </w:p>
        </w:tc>
        <w:tc>
          <w:tcPr>
            <w:tcW w:w="1882"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1C0B7508">
            <w:pPr>
              <w:rPr>
                <w:rFonts w:hint="eastAsia" w:ascii="仿宋" w:hAnsi="仿宋" w:eastAsia="仿宋" w:cs="Helvetica"/>
                <w:kern w:val="0"/>
                <w:sz w:val="24"/>
                <w:szCs w:val="24"/>
              </w:rPr>
            </w:pPr>
            <w:r>
              <w:rPr>
                <w:rFonts w:hint="eastAsia" w:ascii="仿宋" w:hAnsi="仿宋" w:eastAsia="仿宋" w:cs="Helvetica"/>
                <w:kern w:val="0"/>
                <w:sz w:val="24"/>
                <w:szCs w:val="24"/>
              </w:rPr>
              <w:t>静脉调配中心信息管理系统（PIVAS）扩容升级项目</w:t>
            </w:r>
          </w:p>
        </w:tc>
        <w:tc>
          <w:tcPr>
            <w:tcW w:w="1665"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3F732DCE">
            <w:pPr>
              <w:widowControl/>
              <w:jc w:val="center"/>
              <w:rPr>
                <w:rFonts w:hint="default"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20万元</w:t>
            </w:r>
          </w:p>
        </w:tc>
        <w:tc>
          <w:tcPr>
            <w:tcW w:w="4364"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6980A45D">
            <w:pPr>
              <w:pStyle w:val="5"/>
              <w:ind w:firstLine="0"/>
              <w:rPr>
                <w:rFonts w:hint="eastAsia"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本项目包含两个模块：</w:t>
            </w:r>
          </w:p>
          <w:p w14:paraId="16C895DB">
            <w:pPr>
              <w:pStyle w:val="6"/>
              <w:ind w:left="0" w:leftChars="0" w:firstLine="0" w:firstLineChars="0"/>
              <w:rPr>
                <w:rFonts w:hint="eastAsia" w:ascii="仿宋" w:hAnsi="仿宋" w:eastAsia="仿宋" w:cs="Helvetica"/>
                <w:kern w:val="0"/>
                <w:sz w:val="24"/>
                <w:szCs w:val="24"/>
                <w:lang w:val="en-US" w:eastAsia="zh-CN" w:bidi="ar-SA"/>
              </w:rPr>
            </w:pPr>
            <w:r>
              <w:rPr>
                <w:rFonts w:hint="eastAsia" w:ascii="仿宋" w:hAnsi="仿宋" w:eastAsia="仿宋" w:cs="Helvetica"/>
                <w:kern w:val="0"/>
                <w:sz w:val="24"/>
                <w:szCs w:val="24"/>
                <w:lang w:val="en-US" w:eastAsia="zh-CN" w:bidi="ar-SA"/>
              </w:rPr>
              <w:t>1、静配中心耗材费用管理系统；</w:t>
            </w:r>
          </w:p>
          <w:p w14:paraId="586555F6">
            <w:pPr>
              <w:pStyle w:val="6"/>
              <w:rPr>
                <w:rFonts w:hint="eastAsia" w:ascii="仿宋" w:hAnsi="仿宋" w:eastAsia="仿宋" w:cs="Helvetica"/>
                <w:kern w:val="0"/>
                <w:sz w:val="24"/>
                <w:szCs w:val="24"/>
                <w:lang w:val="en-US" w:eastAsia="zh-CN" w:bidi="ar-SA"/>
              </w:rPr>
            </w:pPr>
            <w:r>
              <w:rPr>
                <w:rFonts w:hint="eastAsia" w:ascii="仿宋" w:hAnsi="仿宋" w:eastAsia="仿宋" w:cs="Helvetica"/>
                <w:kern w:val="0"/>
                <w:sz w:val="24"/>
                <w:szCs w:val="24"/>
                <w:lang w:val="en-US" w:eastAsia="zh-CN" w:bidi="ar-SA"/>
              </w:rPr>
              <w:t>对静脉中心使用的耗材进行管理，采用定数包管理模式。通过静配系统与HIS交互、耗材系统交互，达到对静脉用药调剂中使用到的耗材进行统一管理。</w:t>
            </w:r>
          </w:p>
          <w:p w14:paraId="640FF165">
            <w:pPr>
              <w:pStyle w:val="6"/>
              <w:ind w:left="0" w:leftChars="0" w:firstLine="0" w:firstLineChars="0"/>
              <w:rPr>
                <w:rFonts w:hint="eastAsia" w:ascii="仿宋" w:hAnsi="仿宋" w:eastAsia="仿宋" w:cs="Helvetica"/>
                <w:kern w:val="0"/>
                <w:sz w:val="24"/>
                <w:szCs w:val="24"/>
                <w:lang w:val="en-US" w:eastAsia="zh-CN" w:bidi="ar-SA"/>
              </w:rPr>
            </w:pPr>
            <w:r>
              <w:rPr>
                <w:rFonts w:hint="eastAsia" w:ascii="仿宋" w:hAnsi="仿宋" w:eastAsia="仿宋" w:cs="Helvetica"/>
                <w:kern w:val="0"/>
                <w:sz w:val="24"/>
                <w:szCs w:val="24"/>
                <w:lang w:val="en-US" w:eastAsia="zh-CN" w:bidi="ar-SA"/>
              </w:rPr>
              <w:t>2、静配肠外营养TPN可视化审方规则系统；</w:t>
            </w:r>
          </w:p>
          <w:p w14:paraId="1272BB61">
            <w:pPr>
              <w:pStyle w:val="6"/>
              <w:rPr>
                <w:rFonts w:hint="default"/>
                <w:lang w:val="en-US" w:eastAsia="zh-CN"/>
              </w:rPr>
            </w:pPr>
            <w:r>
              <w:rPr>
                <w:rFonts w:hint="eastAsia" w:ascii="仿宋" w:hAnsi="仿宋" w:eastAsia="仿宋" w:cs="Helvetica"/>
                <w:kern w:val="0"/>
                <w:sz w:val="24"/>
                <w:szCs w:val="24"/>
                <w:lang w:val="en-US" w:eastAsia="zh-CN" w:bidi="ar-SA"/>
              </w:rPr>
              <w:t>协助医师实时高效地完成肠外营养医嘱的前置审方，促进肠外营养的规范使用。由临床营养专业药师、审方药师、临床医师、营养师参与制定肠外营养自定义审方规则，依托院内现用的审方系统，药师对肠外营养医嘱实时审核与干预。</w:t>
            </w:r>
            <w:bookmarkStart w:id="0" w:name="_GoBack"/>
            <w:bookmarkEnd w:id="0"/>
          </w:p>
        </w:tc>
      </w:tr>
    </w:tbl>
    <w:p w14:paraId="3DC4FC97">
      <w:pPr>
        <w:widowControl/>
        <w:rPr>
          <w:rFonts w:hint="eastAsia" w:ascii="仿宋" w:hAnsi="仿宋" w:eastAsia="仿宋" w:cs="Algerian"/>
          <w:kern w:val="0"/>
          <w:sz w:val="28"/>
          <w:szCs w:val="28"/>
        </w:rPr>
      </w:pPr>
      <w:r>
        <w:rPr>
          <w:rFonts w:hint="eastAsia" w:ascii="仿宋" w:hAnsi="仿宋" w:eastAsia="仿宋" w:cs="Algerian"/>
          <w:kern w:val="0"/>
          <w:sz w:val="28"/>
          <w:szCs w:val="28"/>
        </w:rPr>
        <w:t>二、报名方式</w:t>
      </w:r>
    </w:p>
    <w:p w14:paraId="75F4EF79">
      <w:pPr>
        <w:widowControl/>
        <w:spacing w:line="480" w:lineRule="auto"/>
        <w:ind w:firstLine="480"/>
        <w:jc w:val="left"/>
        <w:rPr>
          <w:rFonts w:hint="eastAsia" w:ascii="仿宋" w:hAnsi="仿宋" w:eastAsia="仿宋" w:cs="Algerian"/>
          <w:kern w:val="0"/>
          <w:sz w:val="28"/>
          <w:szCs w:val="28"/>
        </w:rPr>
      </w:pPr>
      <w:r>
        <w:rPr>
          <w:rFonts w:hint="eastAsia" w:ascii="仿宋" w:hAnsi="仿宋" w:eastAsia="仿宋" w:cs="Algerian"/>
          <w:kern w:val="0"/>
          <w:sz w:val="28"/>
          <w:szCs w:val="28"/>
        </w:rPr>
        <w:t>1、请有意参与此次调研的厂商，于202</w:t>
      </w:r>
      <w:r>
        <w:rPr>
          <w:rFonts w:hint="eastAsia" w:ascii="仿宋" w:hAnsi="仿宋" w:eastAsia="仿宋" w:cs="Algerian"/>
          <w:kern w:val="0"/>
          <w:sz w:val="28"/>
          <w:szCs w:val="28"/>
          <w:lang w:val="en-US" w:eastAsia="zh-CN"/>
        </w:rPr>
        <w:t>5</w:t>
      </w:r>
      <w:r>
        <w:rPr>
          <w:rFonts w:hint="eastAsia" w:ascii="仿宋" w:hAnsi="仿宋" w:eastAsia="仿宋" w:cs="Algerian"/>
          <w:kern w:val="0"/>
          <w:sz w:val="28"/>
          <w:szCs w:val="28"/>
        </w:rPr>
        <w:t>年</w:t>
      </w:r>
      <w:r>
        <w:rPr>
          <w:rFonts w:hint="eastAsia" w:ascii="仿宋" w:hAnsi="仿宋" w:eastAsia="仿宋" w:cs="Algerian"/>
          <w:kern w:val="0"/>
          <w:sz w:val="28"/>
          <w:szCs w:val="28"/>
          <w:lang w:val="en-US" w:eastAsia="zh-CN"/>
        </w:rPr>
        <w:t>9</w:t>
      </w:r>
      <w:r>
        <w:rPr>
          <w:rFonts w:hint="eastAsia" w:ascii="仿宋" w:hAnsi="仿宋" w:eastAsia="仿宋" w:cs="Algerian"/>
          <w:kern w:val="0"/>
          <w:sz w:val="28"/>
          <w:szCs w:val="28"/>
        </w:rPr>
        <w:t>月</w:t>
      </w:r>
      <w:r>
        <w:rPr>
          <w:rFonts w:hint="eastAsia" w:ascii="仿宋" w:hAnsi="仿宋" w:eastAsia="仿宋" w:cs="Algerian"/>
          <w:kern w:val="0"/>
          <w:sz w:val="28"/>
          <w:szCs w:val="28"/>
          <w:lang w:val="en-US" w:eastAsia="zh-CN"/>
        </w:rPr>
        <w:t>4</w:t>
      </w:r>
      <w:r>
        <w:rPr>
          <w:rFonts w:hint="eastAsia" w:ascii="仿宋" w:hAnsi="仿宋" w:eastAsia="仿宋" w:cs="Algerian"/>
          <w:kern w:val="0"/>
          <w:sz w:val="28"/>
          <w:szCs w:val="28"/>
        </w:rPr>
        <w:t>日17：</w:t>
      </w:r>
      <w:r>
        <w:rPr>
          <w:rFonts w:hint="eastAsia" w:ascii="仿宋" w:hAnsi="仿宋" w:eastAsia="仿宋" w:cs="Algerian"/>
          <w:kern w:val="0"/>
          <w:sz w:val="28"/>
          <w:szCs w:val="28"/>
          <w:lang w:val="en-US" w:eastAsia="zh-CN"/>
        </w:rPr>
        <w:t>0</w:t>
      </w:r>
      <w:r>
        <w:rPr>
          <w:rFonts w:hint="eastAsia" w:ascii="仿宋" w:hAnsi="仿宋" w:eastAsia="仿宋" w:cs="Algerian"/>
          <w:kern w:val="0"/>
          <w:sz w:val="28"/>
          <w:szCs w:val="28"/>
        </w:rPr>
        <w:t>0前，将报名材料发送至联系邮箱：</w:t>
      </w:r>
      <w:r>
        <w:fldChar w:fldCharType="begin"/>
      </w:r>
      <w:r>
        <w:instrText xml:space="preserve"> HYPERLINK "mailto:262037077@qq.com" </w:instrText>
      </w:r>
      <w:r>
        <w:fldChar w:fldCharType="separate"/>
      </w:r>
      <w:r>
        <w:rPr>
          <w:rStyle w:val="18"/>
          <w:rFonts w:hint="eastAsia" w:ascii="仿宋" w:hAnsi="仿宋" w:eastAsia="仿宋" w:cs="Algerian"/>
          <w:kern w:val="0"/>
          <w:sz w:val="28"/>
          <w:szCs w:val="28"/>
          <w:lang w:val="en-US" w:eastAsia="zh-CN"/>
        </w:rPr>
        <w:t>xmzyyxxk</w:t>
      </w:r>
      <w:r>
        <w:rPr>
          <w:rStyle w:val="18"/>
          <w:rFonts w:hint="eastAsia" w:ascii="仿宋" w:hAnsi="仿宋" w:eastAsia="仿宋" w:cs="Algerian"/>
          <w:kern w:val="0"/>
          <w:sz w:val="28"/>
          <w:szCs w:val="28"/>
        </w:rPr>
        <w:t>@</w:t>
      </w:r>
      <w:r>
        <w:rPr>
          <w:rStyle w:val="18"/>
          <w:rFonts w:hint="eastAsia" w:ascii="仿宋" w:hAnsi="仿宋" w:eastAsia="仿宋" w:cs="Algerian"/>
          <w:kern w:val="0"/>
          <w:sz w:val="28"/>
          <w:szCs w:val="28"/>
          <w:lang w:val="en-US" w:eastAsia="zh-CN"/>
        </w:rPr>
        <w:t>126</w:t>
      </w:r>
      <w:r>
        <w:rPr>
          <w:rStyle w:val="18"/>
          <w:rFonts w:hint="eastAsia" w:ascii="仿宋" w:hAnsi="仿宋" w:eastAsia="仿宋" w:cs="Algerian"/>
          <w:kern w:val="0"/>
          <w:sz w:val="28"/>
          <w:szCs w:val="28"/>
        </w:rPr>
        <w:t>.com</w:t>
      </w:r>
      <w:r>
        <w:rPr>
          <w:rStyle w:val="18"/>
          <w:rFonts w:hint="eastAsia" w:ascii="仿宋" w:hAnsi="仿宋" w:eastAsia="仿宋" w:cs="Algerian"/>
          <w:kern w:val="0"/>
          <w:sz w:val="28"/>
          <w:szCs w:val="28"/>
        </w:rPr>
        <w:fldChar w:fldCharType="end"/>
      </w:r>
      <w:r>
        <w:rPr>
          <w:rFonts w:hint="eastAsia" w:ascii="仿宋" w:hAnsi="仿宋" w:eastAsia="仿宋" w:cs="Algerian"/>
          <w:kern w:val="0"/>
          <w:sz w:val="28"/>
          <w:szCs w:val="28"/>
        </w:rPr>
        <w:t>，逾期谢绝接收。</w:t>
      </w:r>
    </w:p>
    <w:p w14:paraId="4B0B5B19">
      <w:pPr>
        <w:widowControl/>
        <w:ind w:hanging="142"/>
        <w:jc w:val="left"/>
        <w:rPr>
          <w:rFonts w:hint="eastAsia" w:ascii="仿宋" w:hAnsi="仿宋" w:eastAsia="仿宋" w:cs="Algerian"/>
          <w:kern w:val="0"/>
          <w:sz w:val="28"/>
          <w:szCs w:val="28"/>
        </w:rPr>
      </w:pPr>
      <w:r>
        <w:rPr>
          <w:rFonts w:hint="eastAsia" w:ascii="仿宋" w:hAnsi="仿宋" w:eastAsia="仿宋" w:cs="Algerian"/>
          <w:kern w:val="0"/>
          <w:sz w:val="28"/>
          <w:szCs w:val="28"/>
        </w:rPr>
        <w:t>（邮件正文：公司名称、项目名称、联系人、联系方式、报价金额；报名材料：扫描电子档文件以“XX项目-XX公司”命名）。</w:t>
      </w:r>
    </w:p>
    <w:p w14:paraId="57FADE54">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2、如需现场勘查，请提前1天预约。联系人：王工，联系电话：0592-5579638。</w:t>
      </w:r>
    </w:p>
    <w:p w14:paraId="51D2D6DD">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3、若参与多个项目调研，请分开发送报名材料。</w:t>
      </w:r>
    </w:p>
    <w:p w14:paraId="5B8D1500">
      <w:pPr>
        <w:widowControl/>
        <w:rPr>
          <w:rFonts w:hint="eastAsia" w:ascii="仿宋" w:hAnsi="仿宋" w:eastAsia="仿宋" w:cs="Algerian"/>
          <w:kern w:val="0"/>
          <w:sz w:val="28"/>
          <w:szCs w:val="28"/>
        </w:rPr>
      </w:pPr>
      <w:r>
        <w:rPr>
          <w:rFonts w:hint="eastAsia" w:ascii="仿宋" w:hAnsi="仿宋" w:eastAsia="仿宋" w:cs="Algerian"/>
          <w:kern w:val="0"/>
          <w:sz w:val="28"/>
          <w:szCs w:val="28"/>
        </w:rPr>
        <w:t>三、供应商资格要求</w:t>
      </w:r>
    </w:p>
    <w:p w14:paraId="3A47B70D">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1、符合《政府采购法》第二十二条的相关规定，报名厂商须具备独立法人资格。</w:t>
      </w:r>
    </w:p>
    <w:p w14:paraId="46AAEDB1">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2、具备法律法规规定的其它条件和良好信誉，经营活动中无违法违规记录，报名截止日前三年内未有被司法部门或行业主管部门处罚记录。</w:t>
      </w:r>
    </w:p>
    <w:p w14:paraId="75990162">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3、本批项目不接受联合体，欢迎拥有三甲医院业绩的厂商参与调研。</w:t>
      </w:r>
    </w:p>
    <w:p w14:paraId="1FADE620">
      <w:pPr>
        <w:widowControl/>
        <w:rPr>
          <w:rFonts w:hint="eastAsia" w:ascii="仿宋" w:hAnsi="仿宋" w:eastAsia="仿宋" w:cs="Algerian"/>
          <w:kern w:val="0"/>
          <w:sz w:val="28"/>
          <w:szCs w:val="28"/>
        </w:rPr>
      </w:pPr>
      <w:r>
        <w:rPr>
          <w:rFonts w:hint="eastAsia" w:ascii="仿宋" w:hAnsi="仿宋" w:eastAsia="仿宋" w:cs="Algerian"/>
          <w:kern w:val="0"/>
          <w:sz w:val="28"/>
          <w:szCs w:val="28"/>
        </w:rPr>
        <w:t>四、报名材料</w:t>
      </w:r>
    </w:p>
    <w:p w14:paraId="26DEBCB0">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1、封面：应注明服务企业名称、所投项目名称，并注明联系人及联系方式。（电子版材料标题需包含所投项目名称、服务企业名称）</w:t>
      </w:r>
    </w:p>
    <w:p w14:paraId="2116FA85">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2、调研厂商合法有效的三证（含营业执照副本复印件、及税务登记证、代码证复印件或加载有统一社会信用代码的营业执照副本复印件）。</w:t>
      </w:r>
    </w:p>
    <w:p w14:paraId="677A6DDF">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3、分别提供“信用中国”网站（www.creditchina.gov.cn）、“中国政府采购网”网站（http://www.ccgp.gov.cn/search/cr/）信用记录查询截图，无不良记录并加盖公章（截图查询日期必须在该公告日期内）。</w:t>
      </w:r>
    </w:p>
    <w:p w14:paraId="7ADEAEA6">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4、符合《中华人民共和国民法典》所规定的授权委托书、个人授权函和身份证复印件。</w:t>
      </w:r>
    </w:p>
    <w:p w14:paraId="2EC35A78">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5、相关资质及知识产权证书包含但不限于：质量管理体系、能力成熟度评估、信息安全服务资质、信息服务标准、信息系统建设和服务能力评估及相关知识产权</w:t>
      </w:r>
      <w:r>
        <w:rPr>
          <w:rFonts w:hint="eastAsia" w:ascii="仿宋" w:hAnsi="仿宋" w:eastAsia="仿宋" w:cs="Algerian"/>
          <w:kern w:val="0"/>
          <w:sz w:val="28"/>
          <w:szCs w:val="28"/>
          <w:lang w:val="en-US" w:eastAsia="zh-CN"/>
        </w:rPr>
        <w:t>(软著）</w:t>
      </w:r>
      <w:r>
        <w:rPr>
          <w:rFonts w:hint="eastAsia" w:ascii="仿宋" w:hAnsi="仿宋" w:eastAsia="仿宋" w:cs="Algerian"/>
          <w:kern w:val="0"/>
          <w:sz w:val="28"/>
          <w:szCs w:val="28"/>
        </w:rPr>
        <w:t>证书复印件。</w:t>
      </w:r>
    </w:p>
    <w:p w14:paraId="0C422F68">
      <w:pPr>
        <w:widowControl/>
        <w:ind w:firstLine="480"/>
        <w:rPr>
          <w:rFonts w:hint="eastAsia" w:ascii="仿宋" w:hAnsi="仿宋" w:eastAsia="仿宋" w:cs="Algerian"/>
          <w:b/>
          <w:bCs/>
          <w:kern w:val="0"/>
          <w:sz w:val="28"/>
          <w:szCs w:val="28"/>
        </w:rPr>
      </w:pPr>
      <w:r>
        <w:rPr>
          <w:rFonts w:hint="eastAsia" w:ascii="仿宋" w:hAnsi="仿宋" w:eastAsia="仿宋" w:cs="Algerian"/>
          <w:kern w:val="0"/>
          <w:sz w:val="28"/>
          <w:szCs w:val="28"/>
        </w:rPr>
        <w:t>6、</w:t>
      </w:r>
      <w:r>
        <w:rPr>
          <w:rFonts w:hint="eastAsia" w:ascii="仿宋" w:hAnsi="仿宋" w:eastAsia="仿宋" w:cs="Algerian"/>
          <w:b/>
          <w:bCs/>
          <w:kern w:val="0"/>
          <w:sz w:val="28"/>
          <w:szCs w:val="28"/>
        </w:rPr>
        <w:t>报价单（包含自研/采购、品牌、型号、生产厂家、进口/国产、详细技术参数、接口方案、详细配置清单、价格（不超预算价）、最长质保年限、维保价格、到货周期、代码放开程度、软件著作权归属/权益、医院信息化科研能力提升等）。</w:t>
      </w:r>
    </w:p>
    <w:p w14:paraId="7AC2A6D1">
      <w:pPr>
        <w:widowControl/>
        <w:ind w:firstLine="480"/>
        <w:rPr>
          <w:rFonts w:hint="eastAsia" w:ascii="仿宋" w:hAnsi="仿宋" w:eastAsia="仿宋" w:cs="Algerian"/>
          <w:kern w:val="0"/>
          <w:sz w:val="28"/>
          <w:szCs w:val="28"/>
        </w:rPr>
      </w:pPr>
      <w:r>
        <w:rPr>
          <w:rFonts w:ascii="仿宋" w:hAnsi="仿宋" w:eastAsia="仿宋" w:cs="Algerian"/>
          <w:kern w:val="0"/>
          <w:sz w:val="28"/>
          <w:szCs w:val="28"/>
        </w:rPr>
        <w:t>自研：非已有现成成熟产品，配合</w:t>
      </w:r>
      <w:r>
        <w:rPr>
          <w:rFonts w:hint="eastAsia" w:ascii="仿宋" w:hAnsi="仿宋" w:eastAsia="仿宋" w:cs="Algerian"/>
          <w:kern w:val="0"/>
          <w:sz w:val="28"/>
          <w:szCs w:val="28"/>
        </w:rPr>
        <w:t>我院</w:t>
      </w:r>
      <w:r>
        <w:rPr>
          <w:rFonts w:ascii="仿宋" w:hAnsi="仿宋" w:eastAsia="仿宋" w:cs="Algerian"/>
          <w:kern w:val="0"/>
          <w:sz w:val="28"/>
          <w:szCs w:val="28"/>
        </w:rPr>
        <w:t>完成相关项目的基本设计</w:t>
      </w:r>
      <w:r>
        <w:rPr>
          <w:rFonts w:hint="eastAsia" w:ascii="仿宋" w:hAnsi="仿宋" w:eastAsia="仿宋" w:cs="Algerian"/>
          <w:kern w:val="0"/>
          <w:sz w:val="28"/>
          <w:szCs w:val="28"/>
        </w:rPr>
        <w:t>~</w:t>
      </w:r>
      <w:r>
        <w:rPr>
          <w:rFonts w:ascii="仿宋" w:hAnsi="仿宋" w:eastAsia="仿宋" w:cs="Algerian"/>
          <w:kern w:val="0"/>
          <w:sz w:val="28"/>
          <w:szCs w:val="28"/>
        </w:rPr>
        <w:t>详细设计</w:t>
      </w:r>
      <w:r>
        <w:rPr>
          <w:rFonts w:hint="eastAsia" w:ascii="仿宋" w:hAnsi="仿宋" w:eastAsia="仿宋" w:cs="Algerian"/>
          <w:kern w:val="0"/>
          <w:sz w:val="28"/>
          <w:szCs w:val="28"/>
        </w:rPr>
        <w:t>~</w:t>
      </w:r>
      <w:r>
        <w:rPr>
          <w:rFonts w:ascii="仿宋" w:hAnsi="仿宋" w:eastAsia="仿宋" w:cs="Algerian"/>
          <w:kern w:val="0"/>
          <w:sz w:val="28"/>
          <w:szCs w:val="28"/>
        </w:rPr>
        <w:t>编码</w:t>
      </w:r>
      <w:r>
        <w:rPr>
          <w:rFonts w:hint="eastAsia" w:ascii="仿宋" w:hAnsi="仿宋" w:eastAsia="仿宋" w:cs="Algerian"/>
          <w:kern w:val="0"/>
          <w:sz w:val="28"/>
          <w:szCs w:val="28"/>
        </w:rPr>
        <w:t>~</w:t>
      </w:r>
      <w:r>
        <w:rPr>
          <w:rFonts w:ascii="仿宋" w:hAnsi="仿宋" w:eastAsia="仿宋" w:cs="Algerian"/>
          <w:kern w:val="0"/>
          <w:sz w:val="28"/>
          <w:szCs w:val="28"/>
        </w:rPr>
        <w:t>单元测试</w:t>
      </w:r>
      <w:r>
        <w:rPr>
          <w:rFonts w:hint="eastAsia" w:ascii="仿宋" w:hAnsi="仿宋" w:eastAsia="仿宋" w:cs="Algerian"/>
          <w:kern w:val="0"/>
          <w:sz w:val="28"/>
          <w:szCs w:val="28"/>
        </w:rPr>
        <w:t>~</w:t>
      </w:r>
      <w:r>
        <w:rPr>
          <w:rFonts w:ascii="仿宋" w:hAnsi="仿宋" w:eastAsia="仿宋" w:cs="Algerian"/>
          <w:kern w:val="0"/>
          <w:sz w:val="28"/>
          <w:szCs w:val="28"/>
        </w:rPr>
        <w:t>集成测试的全流程业务活动</w:t>
      </w:r>
      <w:r>
        <w:rPr>
          <w:rFonts w:hint="eastAsia" w:ascii="仿宋" w:hAnsi="仿宋" w:eastAsia="仿宋" w:cs="Algerian"/>
          <w:kern w:val="0"/>
          <w:sz w:val="28"/>
          <w:szCs w:val="28"/>
        </w:rPr>
        <w:t>；</w:t>
      </w:r>
    </w:p>
    <w:p w14:paraId="6F173C39">
      <w:pPr>
        <w:widowControl/>
        <w:ind w:firstLine="480"/>
        <w:rPr>
          <w:rFonts w:hint="eastAsia" w:ascii="仿宋" w:hAnsi="仿宋" w:eastAsia="仿宋" w:cs="Algerian"/>
          <w:kern w:val="0"/>
          <w:sz w:val="28"/>
          <w:szCs w:val="28"/>
        </w:rPr>
      </w:pPr>
      <w:r>
        <w:rPr>
          <w:rFonts w:ascii="仿宋" w:hAnsi="仿宋" w:eastAsia="仿宋" w:cs="Algerian"/>
          <w:kern w:val="0"/>
          <w:sz w:val="28"/>
          <w:szCs w:val="28"/>
        </w:rPr>
        <w:t>采购：</w:t>
      </w:r>
      <w:r>
        <w:rPr>
          <w:rFonts w:hint="eastAsia" w:ascii="仿宋" w:hAnsi="仿宋" w:eastAsia="仿宋" w:cs="Algerian"/>
          <w:kern w:val="0"/>
          <w:sz w:val="28"/>
          <w:szCs w:val="28"/>
        </w:rPr>
        <w:t>提供市场已有</w:t>
      </w:r>
      <w:r>
        <w:rPr>
          <w:rFonts w:ascii="仿宋" w:hAnsi="仿宋" w:eastAsia="仿宋" w:cs="Algerian"/>
          <w:kern w:val="0"/>
          <w:sz w:val="28"/>
          <w:szCs w:val="28"/>
        </w:rPr>
        <w:t>成熟产品，依据</w:t>
      </w:r>
      <w:r>
        <w:rPr>
          <w:rFonts w:hint="eastAsia" w:ascii="仿宋" w:hAnsi="仿宋" w:eastAsia="仿宋" w:cs="Algerian"/>
          <w:kern w:val="0"/>
          <w:sz w:val="28"/>
          <w:szCs w:val="28"/>
        </w:rPr>
        <w:t>我院</w:t>
      </w:r>
      <w:r>
        <w:rPr>
          <w:rFonts w:ascii="仿宋" w:hAnsi="仿宋" w:eastAsia="仿宋" w:cs="Algerian"/>
          <w:kern w:val="0"/>
          <w:sz w:val="28"/>
          <w:szCs w:val="28"/>
        </w:rPr>
        <w:t>需求适度客户化</w:t>
      </w:r>
      <w:r>
        <w:rPr>
          <w:rFonts w:hint="eastAsia" w:ascii="仿宋" w:hAnsi="仿宋" w:eastAsia="仿宋" w:cs="Algerian"/>
          <w:kern w:val="0"/>
          <w:sz w:val="28"/>
          <w:szCs w:val="28"/>
        </w:rPr>
        <w:t>。</w:t>
      </w:r>
    </w:p>
    <w:p w14:paraId="5B5198A1">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7、须提供近三年所调研产品投标同规格型号的用户清单（本省及厦门市三甲医院优先列出）及相关服务业绩证明材料（中标通知书、合同、发票、验收等佐证材料）作为报价依据。</w:t>
      </w:r>
    </w:p>
    <w:p w14:paraId="320EDC1D">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8、报名厂商提供报名产品型号与其它同性能不同品牌间的主要参数对比，简要阐述自身优势亮点。</w:t>
      </w:r>
    </w:p>
    <w:p w14:paraId="49FF54AB">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9、调研进程中必要时需提供产品测试，请提前准备。</w:t>
      </w:r>
    </w:p>
    <w:p w14:paraId="44B64945">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10、</w:t>
      </w:r>
      <w:r>
        <w:rPr>
          <w:rFonts w:hint="eastAsia" w:ascii="仿宋" w:hAnsi="仿宋" w:eastAsia="仿宋" w:cs="Algerian"/>
          <w:b/>
          <w:bCs/>
          <w:kern w:val="0"/>
          <w:sz w:val="28"/>
          <w:szCs w:val="28"/>
          <w:lang w:val="en-US" w:eastAsia="zh-CN"/>
        </w:rPr>
        <w:t>新建项目需填写</w:t>
      </w:r>
      <w:r>
        <w:rPr>
          <w:rFonts w:hint="eastAsia" w:ascii="仿宋" w:hAnsi="仿宋" w:eastAsia="仿宋" w:cs="Algerian"/>
          <w:b/>
          <w:bCs/>
          <w:kern w:val="0"/>
          <w:sz w:val="28"/>
          <w:szCs w:val="28"/>
        </w:rPr>
        <w:t>建设方案：请根据附件《厦门市政务信息化项目建设方案模板》编制所报名项目的建设方案，尽可能填写完整，部分内容若不涉及可填“无”。（《建设方案》请单独作为附件，命名格式如下：“XX项目建设方案-XX公司”）</w:t>
      </w:r>
    </w:p>
    <w:p w14:paraId="55C2EE16">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11、首次公示所提交的投标材料，二次公示时若内容未改变，则无需重复提交。</w:t>
      </w:r>
    </w:p>
    <w:p w14:paraId="7A294736">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12、资料提交时须按顺序编排目录及页码，每份资料（双面打印）装订成册，均需加盖公章、骑缝章。</w:t>
      </w:r>
    </w:p>
    <w:p w14:paraId="0E31A80D">
      <w:pPr>
        <w:widowControl/>
        <w:rPr>
          <w:rFonts w:hint="eastAsia" w:ascii="仿宋" w:hAnsi="仿宋" w:eastAsia="仿宋" w:cs="Algerian"/>
          <w:kern w:val="0"/>
          <w:sz w:val="28"/>
          <w:szCs w:val="28"/>
        </w:rPr>
      </w:pPr>
      <w:r>
        <w:rPr>
          <w:rFonts w:hint="eastAsia" w:ascii="仿宋" w:hAnsi="仿宋" w:eastAsia="仿宋" w:cs="Algerian"/>
          <w:kern w:val="0"/>
          <w:sz w:val="28"/>
          <w:szCs w:val="28"/>
        </w:rPr>
        <w:t>五、后续通知</w:t>
      </w:r>
    </w:p>
    <w:p w14:paraId="0200DCE5">
      <w:pPr>
        <w:widowControl/>
        <w:ind w:firstLine="565" w:firstLineChars="202"/>
        <w:rPr>
          <w:rFonts w:hint="eastAsia" w:ascii="仿宋" w:hAnsi="仿宋" w:eastAsia="仿宋" w:cs="Algerian"/>
          <w:kern w:val="0"/>
          <w:sz w:val="28"/>
          <w:szCs w:val="28"/>
        </w:rPr>
      </w:pPr>
      <w:r>
        <w:rPr>
          <w:rFonts w:hint="eastAsia" w:ascii="仿宋" w:hAnsi="仿宋" w:eastAsia="仿宋" w:cs="Algerian"/>
          <w:kern w:val="0"/>
          <w:sz w:val="28"/>
          <w:szCs w:val="28"/>
        </w:rPr>
        <w:t>1、审核资料合格者，视为报名成功。</w:t>
      </w:r>
    </w:p>
    <w:p w14:paraId="51AD4F02">
      <w:pPr>
        <w:widowControl/>
        <w:ind w:firstLine="565" w:firstLineChars="202"/>
        <w:rPr>
          <w:rFonts w:hint="eastAsia" w:ascii="仿宋" w:hAnsi="仿宋" w:eastAsia="仿宋" w:cs="Algerian"/>
          <w:kern w:val="0"/>
          <w:sz w:val="28"/>
          <w:szCs w:val="28"/>
        </w:rPr>
      </w:pPr>
      <w:r>
        <w:rPr>
          <w:rFonts w:hint="eastAsia" w:ascii="仿宋" w:hAnsi="仿宋" w:eastAsia="仿宋" w:cs="Algerian"/>
          <w:kern w:val="0"/>
          <w:sz w:val="28"/>
          <w:szCs w:val="28"/>
        </w:rPr>
        <w:t>2、</w:t>
      </w:r>
      <w:r>
        <w:rPr>
          <w:rFonts w:ascii="仿宋" w:hAnsi="仿宋" w:eastAsia="仿宋" w:cs="Algerian"/>
          <w:kern w:val="0"/>
          <w:sz w:val="28"/>
          <w:szCs w:val="28"/>
        </w:rPr>
        <w:t>医院</w:t>
      </w:r>
      <w:r>
        <w:rPr>
          <w:rFonts w:hint="eastAsia" w:ascii="仿宋" w:hAnsi="仿宋" w:eastAsia="仿宋" w:cs="Algerian"/>
          <w:kern w:val="0"/>
          <w:sz w:val="28"/>
          <w:szCs w:val="28"/>
        </w:rPr>
        <w:t>根据实际需求择期举行项目调研论证会，论证会时间通过短信、电话另行通知，请保持手机畅通。</w:t>
      </w:r>
    </w:p>
    <w:p w14:paraId="0D072D47">
      <w:pPr>
        <w:widowControl/>
        <w:ind w:firstLine="565" w:firstLineChars="202"/>
        <w:rPr>
          <w:rFonts w:hint="eastAsia" w:ascii="宋体" w:hAnsi="宋体" w:eastAsia="仿宋" w:cs="Algerian"/>
          <w:kern w:val="0"/>
          <w:sz w:val="28"/>
          <w:szCs w:val="28"/>
        </w:rPr>
      </w:pPr>
      <w:r>
        <w:rPr>
          <w:rFonts w:hint="eastAsia" w:ascii="仿宋" w:hAnsi="仿宋" w:eastAsia="仿宋" w:cs="Algerian"/>
          <w:kern w:val="0"/>
          <w:sz w:val="28"/>
          <w:szCs w:val="28"/>
        </w:rPr>
        <w:t>3、参与调研论证的报名厂商人员仅为报名文件授权人员，请携带本人身份证出席。</w:t>
      </w:r>
    </w:p>
    <w:p w14:paraId="04DBB83A">
      <w:pPr>
        <w:widowControl/>
        <w:ind w:right="1120"/>
        <w:jc w:val="right"/>
        <w:rPr>
          <w:rFonts w:hint="eastAsia" w:ascii="仿宋" w:hAnsi="仿宋" w:eastAsia="仿宋" w:cs="Algerian"/>
          <w:kern w:val="0"/>
          <w:sz w:val="28"/>
          <w:szCs w:val="28"/>
          <w:lang w:val="en-US" w:eastAsia="zh-CN"/>
        </w:rPr>
      </w:pPr>
      <w:r>
        <w:rPr>
          <w:rFonts w:hint="eastAsia" w:ascii="仿宋" w:hAnsi="仿宋" w:eastAsia="仿宋" w:cs="Algerian"/>
          <w:kern w:val="0"/>
          <w:sz w:val="28"/>
          <w:szCs w:val="28"/>
        </w:rPr>
        <w:t>厦门市中医院</w:t>
      </w:r>
      <w:r>
        <w:rPr>
          <w:rFonts w:hint="eastAsia" w:ascii="仿宋" w:hAnsi="仿宋" w:eastAsia="仿宋" w:cs="Algerian"/>
          <w:kern w:val="0"/>
          <w:sz w:val="28"/>
          <w:szCs w:val="28"/>
          <w:lang w:val="en-US" w:eastAsia="zh-CN"/>
        </w:rPr>
        <w:t xml:space="preserve"> </w:t>
      </w:r>
    </w:p>
    <w:p w14:paraId="0DC03095">
      <w:pPr>
        <w:widowControl/>
        <w:ind w:right="1120"/>
        <w:jc w:val="right"/>
        <w:rPr>
          <w:rFonts w:ascii="仿宋" w:hAnsi="仿宋" w:eastAsia="仿宋"/>
          <w:sz w:val="28"/>
          <w:szCs w:val="28"/>
        </w:rPr>
      </w:pPr>
      <w:r>
        <w:rPr>
          <w:rFonts w:hint="eastAsia" w:ascii="仿宋" w:hAnsi="仿宋" w:eastAsia="仿宋" w:cs="Algerian"/>
          <w:kern w:val="0"/>
          <w:sz w:val="28"/>
          <w:szCs w:val="28"/>
        </w:rPr>
        <w:t>202</w:t>
      </w:r>
      <w:r>
        <w:rPr>
          <w:rFonts w:hint="eastAsia" w:ascii="仿宋" w:hAnsi="仿宋" w:eastAsia="仿宋" w:cs="Algerian"/>
          <w:kern w:val="0"/>
          <w:sz w:val="28"/>
          <w:szCs w:val="28"/>
          <w:lang w:val="en-US" w:eastAsia="zh-CN"/>
        </w:rPr>
        <w:t>5</w:t>
      </w:r>
      <w:r>
        <w:rPr>
          <w:rFonts w:hint="eastAsia" w:ascii="仿宋" w:hAnsi="仿宋" w:eastAsia="仿宋" w:cs="Algerian"/>
          <w:kern w:val="0"/>
          <w:sz w:val="28"/>
          <w:szCs w:val="28"/>
        </w:rPr>
        <w:t>年</w:t>
      </w:r>
      <w:r>
        <w:rPr>
          <w:rFonts w:hint="eastAsia" w:ascii="仿宋" w:hAnsi="仿宋" w:eastAsia="仿宋" w:cs="Algerian"/>
          <w:kern w:val="0"/>
          <w:sz w:val="28"/>
          <w:szCs w:val="28"/>
          <w:lang w:val="en-US" w:eastAsia="zh-CN"/>
        </w:rPr>
        <w:t>9</w:t>
      </w:r>
      <w:r>
        <w:rPr>
          <w:rFonts w:hint="eastAsia" w:ascii="仿宋" w:hAnsi="仿宋" w:eastAsia="仿宋" w:cs="Algerian"/>
          <w:kern w:val="0"/>
          <w:sz w:val="28"/>
          <w:szCs w:val="28"/>
        </w:rPr>
        <w:t>月</w:t>
      </w:r>
      <w:r>
        <w:rPr>
          <w:rFonts w:hint="eastAsia" w:ascii="仿宋" w:hAnsi="仿宋" w:eastAsia="仿宋" w:cs="Algerian"/>
          <w:kern w:val="0"/>
          <w:sz w:val="28"/>
          <w:szCs w:val="28"/>
          <w:lang w:val="en-US" w:eastAsia="zh-CN"/>
        </w:rPr>
        <w:t>2</w:t>
      </w:r>
      <w:r>
        <w:rPr>
          <w:rFonts w:hint="eastAsia" w:ascii="仿宋" w:hAnsi="仿宋" w:eastAsia="仿宋" w:cs="Algerian"/>
          <w:kern w:val="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lgerian">
    <w:panose1 w:val="04020705040A02060702"/>
    <w:charset w:val="00"/>
    <w:family w:val="decorative"/>
    <w:pitch w:val="default"/>
    <w:sig w:usb0="00000003" w:usb1="00000000" w:usb2="00000000" w:usb3="00000000" w:csb0="20000001" w:csb1="00000000"/>
  </w:font>
  <w:font w:name="Helvetica">
    <w:altName w:val="Arial"/>
    <w:panose1 w:val="020B0604020202020204"/>
    <w:charset w:val="00"/>
    <w:family w:val="swiss"/>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044646"/>
    <w:multiLevelType w:val="singleLevel"/>
    <w:tmpl w:val="D0044646"/>
    <w:lvl w:ilvl="0" w:tentative="0">
      <w:start w:val="1"/>
      <w:numFmt w:val="chineseCounting"/>
      <w:suff w:val="nothing"/>
      <w:lvlText w:val="%1、"/>
      <w:lvlJc w:val="left"/>
      <w:rPr>
        <w:rFonts w:hint="eastAsia"/>
      </w:rPr>
    </w:lvl>
  </w:abstractNum>
  <w:abstractNum w:abstractNumId="1">
    <w:nsid w:val="5F6A1EEE"/>
    <w:multiLevelType w:val="singleLevel"/>
    <w:tmpl w:val="5F6A1EEE"/>
    <w:lvl w:ilvl="0" w:tentative="0">
      <w:start w:val="1"/>
      <w:numFmt w:val="decimal"/>
      <w:pStyle w:val="4"/>
      <w:lvlText w:val="%1."/>
      <w:lvlJc w:val="left"/>
      <w:pPr>
        <w:tabs>
          <w:tab w:val="left" w:pos="425"/>
        </w:tabs>
        <w:ind w:left="425" w:hanging="425"/>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lMWE3ZTMxODU3NDcyOGFhOTUwZjUwZjQ3YjZjZDIifQ=="/>
  </w:docVars>
  <w:rsids>
    <w:rsidRoot w:val="00172A27"/>
    <w:rsid w:val="00002F7B"/>
    <w:rsid w:val="000427DB"/>
    <w:rsid w:val="000446EC"/>
    <w:rsid w:val="000456B8"/>
    <w:rsid w:val="00074A1C"/>
    <w:rsid w:val="00092550"/>
    <w:rsid w:val="000A61C0"/>
    <w:rsid w:val="000D7661"/>
    <w:rsid w:val="000E287F"/>
    <w:rsid w:val="000E2B8B"/>
    <w:rsid w:val="000E7349"/>
    <w:rsid w:val="000F4039"/>
    <w:rsid w:val="00121C5A"/>
    <w:rsid w:val="001240AA"/>
    <w:rsid w:val="001355CA"/>
    <w:rsid w:val="00137842"/>
    <w:rsid w:val="001543FF"/>
    <w:rsid w:val="00157C68"/>
    <w:rsid w:val="00172A27"/>
    <w:rsid w:val="00185F35"/>
    <w:rsid w:val="001873A9"/>
    <w:rsid w:val="001B0E57"/>
    <w:rsid w:val="001C4DE2"/>
    <w:rsid w:val="001C6DDD"/>
    <w:rsid w:val="001D08ED"/>
    <w:rsid w:val="001D18A2"/>
    <w:rsid w:val="001D4DCD"/>
    <w:rsid w:val="001D7182"/>
    <w:rsid w:val="00204A0A"/>
    <w:rsid w:val="0021481B"/>
    <w:rsid w:val="00225914"/>
    <w:rsid w:val="00235D23"/>
    <w:rsid w:val="002428C9"/>
    <w:rsid w:val="00243053"/>
    <w:rsid w:val="0024482B"/>
    <w:rsid w:val="00250D73"/>
    <w:rsid w:val="0025245E"/>
    <w:rsid w:val="00275216"/>
    <w:rsid w:val="00277EF1"/>
    <w:rsid w:val="00283774"/>
    <w:rsid w:val="002C30BA"/>
    <w:rsid w:val="002C3C78"/>
    <w:rsid w:val="002D02F1"/>
    <w:rsid w:val="002D6390"/>
    <w:rsid w:val="002E5C54"/>
    <w:rsid w:val="002E5CD4"/>
    <w:rsid w:val="0030613A"/>
    <w:rsid w:val="00307592"/>
    <w:rsid w:val="00307F79"/>
    <w:rsid w:val="003373A5"/>
    <w:rsid w:val="00337899"/>
    <w:rsid w:val="0034369A"/>
    <w:rsid w:val="00385869"/>
    <w:rsid w:val="00386084"/>
    <w:rsid w:val="003869BF"/>
    <w:rsid w:val="003C72E0"/>
    <w:rsid w:val="003E2796"/>
    <w:rsid w:val="003F5720"/>
    <w:rsid w:val="004013CA"/>
    <w:rsid w:val="004707CF"/>
    <w:rsid w:val="00475049"/>
    <w:rsid w:val="004870AA"/>
    <w:rsid w:val="004A11D9"/>
    <w:rsid w:val="004B02DF"/>
    <w:rsid w:val="004B6EA8"/>
    <w:rsid w:val="004D6551"/>
    <w:rsid w:val="004E7B6B"/>
    <w:rsid w:val="005332F4"/>
    <w:rsid w:val="00556B0B"/>
    <w:rsid w:val="00560381"/>
    <w:rsid w:val="005A4788"/>
    <w:rsid w:val="005B03AD"/>
    <w:rsid w:val="005C3060"/>
    <w:rsid w:val="00614561"/>
    <w:rsid w:val="0061513B"/>
    <w:rsid w:val="00616EAC"/>
    <w:rsid w:val="00620A17"/>
    <w:rsid w:val="00623424"/>
    <w:rsid w:val="006241D9"/>
    <w:rsid w:val="00626940"/>
    <w:rsid w:val="00631FB3"/>
    <w:rsid w:val="00661CEA"/>
    <w:rsid w:val="0066316B"/>
    <w:rsid w:val="006717EA"/>
    <w:rsid w:val="0068430C"/>
    <w:rsid w:val="006B42EB"/>
    <w:rsid w:val="006C59DC"/>
    <w:rsid w:val="007141C9"/>
    <w:rsid w:val="00743BE0"/>
    <w:rsid w:val="00750A5B"/>
    <w:rsid w:val="0076387A"/>
    <w:rsid w:val="00793563"/>
    <w:rsid w:val="007B36BF"/>
    <w:rsid w:val="007C23A3"/>
    <w:rsid w:val="007D488C"/>
    <w:rsid w:val="007E082B"/>
    <w:rsid w:val="007E4ECF"/>
    <w:rsid w:val="00820A9F"/>
    <w:rsid w:val="00825DE7"/>
    <w:rsid w:val="00834E50"/>
    <w:rsid w:val="008424E9"/>
    <w:rsid w:val="0084401D"/>
    <w:rsid w:val="00845A35"/>
    <w:rsid w:val="00847110"/>
    <w:rsid w:val="00847F26"/>
    <w:rsid w:val="0086209E"/>
    <w:rsid w:val="00865394"/>
    <w:rsid w:val="0088267F"/>
    <w:rsid w:val="008868F2"/>
    <w:rsid w:val="008F7EA9"/>
    <w:rsid w:val="00911474"/>
    <w:rsid w:val="00925352"/>
    <w:rsid w:val="0092634C"/>
    <w:rsid w:val="00943EFD"/>
    <w:rsid w:val="00977D6D"/>
    <w:rsid w:val="009855DA"/>
    <w:rsid w:val="009873C9"/>
    <w:rsid w:val="0098753C"/>
    <w:rsid w:val="009E1755"/>
    <w:rsid w:val="009F5392"/>
    <w:rsid w:val="00A205D7"/>
    <w:rsid w:val="00A3780B"/>
    <w:rsid w:val="00A437A3"/>
    <w:rsid w:val="00A86AF5"/>
    <w:rsid w:val="00AA3F4A"/>
    <w:rsid w:val="00AB43DB"/>
    <w:rsid w:val="00AB4702"/>
    <w:rsid w:val="00AB6D85"/>
    <w:rsid w:val="00AC2225"/>
    <w:rsid w:val="00AC6E27"/>
    <w:rsid w:val="00AC6FD5"/>
    <w:rsid w:val="00AC7952"/>
    <w:rsid w:val="00AD6931"/>
    <w:rsid w:val="00AF3AAA"/>
    <w:rsid w:val="00AF5400"/>
    <w:rsid w:val="00B31292"/>
    <w:rsid w:val="00B41BB0"/>
    <w:rsid w:val="00B42FA0"/>
    <w:rsid w:val="00B514C1"/>
    <w:rsid w:val="00B63B54"/>
    <w:rsid w:val="00B71075"/>
    <w:rsid w:val="00B811FC"/>
    <w:rsid w:val="00B949FF"/>
    <w:rsid w:val="00BB2860"/>
    <w:rsid w:val="00BC76EE"/>
    <w:rsid w:val="00BE3E67"/>
    <w:rsid w:val="00BE6ADC"/>
    <w:rsid w:val="00C22F78"/>
    <w:rsid w:val="00C25202"/>
    <w:rsid w:val="00C40DC1"/>
    <w:rsid w:val="00C4237D"/>
    <w:rsid w:val="00C44499"/>
    <w:rsid w:val="00C5728A"/>
    <w:rsid w:val="00C645DA"/>
    <w:rsid w:val="00C75648"/>
    <w:rsid w:val="00CA6F4D"/>
    <w:rsid w:val="00CC5E19"/>
    <w:rsid w:val="00CD5FC3"/>
    <w:rsid w:val="00D27FE7"/>
    <w:rsid w:val="00D624C2"/>
    <w:rsid w:val="00D6587A"/>
    <w:rsid w:val="00DB7F56"/>
    <w:rsid w:val="00E11D73"/>
    <w:rsid w:val="00E31325"/>
    <w:rsid w:val="00E37C5E"/>
    <w:rsid w:val="00E43394"/>
    <w:rsid w:val="00E611D6"/>
    <w:rsid w:val="00E63796"/>
    <w:rsid w:val="00E66B4A"/>
    <w:rsid w:val="00E94BED"/>
    <w:rsid w:val="00EC0B50"/>
    <w:rsid w:val="00EF2BF1"/>
    <w:rsid w:val="00EF559C"/>
    <w:rsid w:val="00EF66C9"/>
    <w:rsid w:val="00F0589B"/>
    <w:rsid w:val="00F466E5"/>
    <w:rsid w:val="00F55478"/>
    <w:rsid w:val="00F60324"/>
    <w:rsid w:val="00FE5B4C"/>
    <w:rsid w:val="00FF485B"/>
    <w:rsid w:val="01541EA9"/>
    <w:rsid w:val="017936BE"/>
    <w:rsid w:val="021C6183"/>
    <w:rsid w:val="034C36F2"/>
    <w:rsid w:val="03B47F8D"/>
    <w:rsid w:val="03C17B39"/>
    <w:rsid w:val="04B43717"/>
    <w:rsid w:val="04B922CF"/>
    <w:rsid w:val="04EE02C4"/>
    <w:rsid w:val="04FD3A1D"/>
    <w:rsid w:val="054A15F9"/>
    <w:rsid w:val="0590735C"/>
    <w:rsid w:val="05C40203"/>
    <w:rsid w:val="05EC3C0D"/>
    <w:rsid w:val="0616105D"/>
    <w:rsid w:val="06916813"/>
    <w:rsid w:val="06AA4FFE"/>
    <w:rsid w:val="06D326E0"/>
    <w:rsid w:val="07950B26"/>
    <w:rsid w:val="07FD0DA7"/>
    <w:rsid w:val="0805006C"/>
    <w:rsid w:val="08D35E16"/>
    <w:rsid w:val="092608EB"/>
    <w:rsid w:val="0AC35FE3"/>
    <w:rsid w:val="0AC610F3"/>
    <w:rsid w:val="0AC82872"/>
    <w:rsid w:val="0C1E05DC"/>
    <w:rsid w:val="0C3E7B22"/>
    <w:rsid w:val="0CC2416B"/>
    <w:rsid w:val="0CE64B8B"/>
    <w:rsid w:val="0D053AA3"/>
    <w:rsid w:val="0D2F2F4F"/>
    <w:rsid w:val="0D3C023D"/>
    <w:rsid w:val="0D3E363E"/>
    <w:rsid w:val="0DEA6C08"/>
    <w:rsid w:val="0F33494A"/>
    <w:rsid w:val="0FCF7D7E"/>
    <w:rsid w:val="1010343F"/>
    <w:rsid w:val="1025513D"/>
    <w:rsid w:val="102D3FFB"/>
    <w:rsid w:val="10C14D88"/>
    <w:rsid w:val="11122069"/>
    <w:rsid w:val="11D1200C"/>
    <w:rsid w:val="13FA243C"/>
    <w:rsid w:val="161C7AD3"/>
    <w:rsid w:val="163932FC"/>
    <w:rsid w:val="16861701"/>
    <w:rsid w:val="16C62153"/>
    <w:rsid w:val="16E0566C"/>
    <w:rsid w:val="17066C93"/>
    <w:rsid w:val="17440D8F"/>
    <w:rsid w:val="17BD2A82"/>
    <w:rsid w:val="18831547"/>
    <w:rsid w:val="18DF42F7"/>
    <w:rsid w:val="19457086"/>
    <w:rsid w:val="199F3505"/>
    <w:rsid w:val="1A6609BE"/>
    <w:rsid w:val="1B965141"/>
    <w:rsid w:val="1B9E2247"/>
    <w:rsid w:val="1CA16F29"/>
    <w:rsid w:val="1CC96948"/>
    <w:rsid w:val="1D970CFC"/>
    <w:rsid w:val="1EA4612E"/>
    <w:rsid w:val="1F3B7AA8"/>
    <w:rsid w:val="20AA1E26"/>
    <w:rsid w:val="21BB394C"/>
    <w:rsid w:val="221B63B9"/>
    <w:rsid w:val="227B6E3E"/>
    <w:rsid w:val="22890190"/>
    <w:rsid w:val="22E1737C"/>
    <w:rsid w:val="23133FE2"/>
    <w:rsid w:val="23B037C8"/>
    <w:rsid w:val="24B73CAC"/>
    <w:rsid w:val="24E3171B"/>
    <w:rsid w:val="25A20E8B"/>
    <w:rsid w:val="2608340C"/>
    <w:rsid w:val="2624785C"/>
    <w:rsid w:val="264344C7"/>
    <w:rsid w:val="26583EBF"/>
    <w:rsid w:val="26644BA3"/>
    <w:rsid w:val="26BF6183"/>
    <w:rsid w:val="26E4095C"/>
    <w:rsid w:val="272D41BF"/>
    <w:rsid w:val="27EC34FF"/>
    <w:rsid w:val="2876051A"/>
    <w:rsid w:val="28CA7494"/>
    <w:rsid w:val="2A2E3D64"/>
    <w:rsid w:val="2A48356C"/>
    <w:rsid w:val="2A53244F"/>
    <w:rsid w:val="2C0E2AD1"/>
    <w:rsid w:val="2C7C4CF8"/>
    <w:rsid w:val="2CFB5341"/>
    <w:rsid w:val="2D1376EB"/>
    <w:rsid w:val="2E4F2F2D"/>
    <w:rsid w:val="2E8E614B"/>
    <w:rsid w:val="2ED46D01"/>
    <w:rsid w:val="2F38405C"/>
    <w:rsid w:val="2FB26720"/>
    <w:rsid w:val="31C04FAC"/>
    <w:rsid w:val="335A72CC"/>
    <w:rsid w:val="336443FB"/>
    <w:rsid w:val="34276FCD"/>
    <w:rsid w:val="34DB121D"/>
    <w:rsid w:val="35022D1B"/>
    <w:rsid w:val="36C94D88"/>
    <w:rsid w:val="379F4F25"/>
    <w:rsid w:val="387D5266"/>
    <w:rsid w:val="38A058F5"/>
    <w:rsid w:val="38E86458"/>
    <w:rsid w:val="39417D9A"/>
    <w:rsid w:val="39DF1024"/>
    <w:rsid w:val="3A387B3D"/>
    <w:rsid w:val="3AAB6345"/>
    <w:rsid w:val="3AB24F6F"/>
    <w:rsid w:val="3AE375F5"/>
    <w:rsid w:val="3B88621D"/>
    <w:rsid w:val="3D61240E"/>
    <w:rsid w:val="3D784E78"/>
    <w:rsid w:val="3F5F4341"/>
    <w:rsid w:val="3F870B14"/>
    <w:rsid w:val="3F9237FA"/>
    <w:rsid w:val="3FA84AA0"/>
    <w:rsid w:val="3FE11A18"/>
    <w:rsid w:val="410B3E45"/>
    <w:rsid w:val="41443381"/>
    <w:rsid w:val="416E1A99"/>
    <w:rsid w:val="41E53E7C"/>
    <w:rsid w:val="420C2112"/>
    <w:rsid w:val="42CF7786"/>
    <w:rsid w:val="439454A0"/>
    <w:rsid w:val="439D67BD"/>
    <w:rsid w:val="442126D3"/>
    <w:rsid w:val="446F6FB9"/>
    <w:rsid w:val="453328BF"/>
    <w:rsid w:val="4552408C"/>
    <w:rsid w:val="45E667C5"/>
    <w:rsid w:val="462A2AA8"/>
    <w:rsid w:val="46EF54E4"/>
    <w:rsid w:val="47596182"/>
    <w:rsid w:val="47A5361A"/>
    <w:rsid w:val="48143F30"/>
    <w:rsid w:val="48183844"/>
    <w:rsid w:val="481F54E2"/>
    <w:rsid w:val="49495764"/>
    <w:rsid w:val="49DA7E2C"/>
    <w:rsid w:val="49FD7285"/>
    <w:rsid w:val="4A65319D"/>
    <w:rsid w:val="4AB9714B"/>
    <w:rsid w:val="4B75001F"/>
    <w:rsid w:val="4B760A5C"/>
    <w:rsid w:val="4C781237"/>
    <w:rsid w:val="4CA961D2"/>
    <w:rsid w:val="4D805866"/>
    <w:rsid w:val="4D826A23"/>
    <w:rsid w:val="4D8A4C44"/>
    <w:rsid w:val="4DB02331"/>
    <w:rsid w:val="4E0607C9"/>
    <w:rsid w:val="4E2B1C75"/>
    <w:rsid w:val="4E8F7073"/>
    <w:rsid w:val="4F07171A"/>
    <w:rsid w:val="4F0C6665"/>
    <w:rsid w:val="4F587FEF"/>
    <w:rsid w:val="4F88250B"/>
    <w:rsid w:val="4FC261DE"/>
    <w:rsid w:val="4FD15498"/>
    <w:rsid w:val="4FF911EC"/>
    <w:rsid w:val="4FFA3743"/>
    <w:rsid w:val="506568B4"/>
    <w:rsid w:val="50BF6A35"/>
    <w:rsid w:val="50DC3D36"/>
    <w:rsid w:val="520814FB"/>
    <w:rsid w:val="52197E22"/>
    <w:rsid w:val="52BE50E1"/>
    <w:rsid w:val="52F10A27"/>
    <w:rsid w:val="53401B2E"/>
    <w:rsid w:val="5425581A"/>
    <w:rsid w:val="551C2A80"/>
    <w:rsid w:val="55C06641"/>
    <w:rsid w:val="5622235F"/>
    <w:rsid w:val="56BB2109"/>
    <w:rsid w:val="59114FB0"/>
    <w:rsid w:val="5A324350"/>
    <w:rsid w:val="5AD54CCD"/>
    <w:rsid w:val="5B197398"/>
    <w:rsid w:val="5BB16E51"/>
    <w:rsid w:val="5C2044EE"/>
    <w:rsid w:val="5E897C12"/>
    <w:rsid w:val="60845B08"/>
    <w:rsid w:val="60AB49A7"/>
    <w:rsid w:val="60D1764E"/>
    <w:rsid w:val="610A390A"/>
    <w:rsid w:val="62481125"/>
    <w:rsid w:val="637C19EA"/>
    <w:rsid w:val="63995DDC"/>
    <w:rsid w:val="63CB4828"/>
    <w:rsid w:val="6612518D"/>
    <w:rsid w:val="66751F24"/>
    <w:rsid w:val="673E5311"/>
    <w:rsid w:val="679A7E8E"/>
    <w:rsid w:val="67EE6D37"/>
    <w:rsid w:val="6850091F"/>
    <w:rsid w:val="68986353"/>
    <w:rsid w:val="68DD5A6D"/>
    <w:rsid w:val="694F1A58"/>
    <w:rsid w:val="69BA22D2"/>
    <w:rsid w:val="69C717FB"/>
    <w:rsid w:val="69F36887"/>
    <w:rsid w:val="6A120191"/>
    <w:rsid w:val="6A754FBB"/>
    <w:rsid w:val="6A911D64"/>
    <w:rsid w:val="6B056872"/>
    <w:rsid w:val="6C1354B1"/>
    <w:rsid w:val="6C2076DB"/>
    <w:rsid w:val="6CB70040"/>
    <w:rsid w:val="6CE36236"/>
    <w:rsid w:val="6D8B0464"/>
    <w:rsid w:val="6E805D64"/>
    <w:rsid w:val="6E95615F"/>
    <w:rsid w:val="6F2B0871"/>
    <w:rsid w:val="6F5A442A"/>
    <w:rsid w:val="6F9C2ACD"/>
    <w:rsid w:val="6FE94B70"/>
    <w:rsid w:val="70A5759A"/>
    <w:rsid w:val="71D15700"/>
    <w:rsid w:val="72694063"/>
    <w:rsid w:val="72A204A0"/>
    <w:rsid w:val="739210CC"/>
    <w:rsid w:val="73A917C7"/>
    <w:rsid w:val="7441688A"/>
    <w:rsid w:val="7553730E"/>
    <w:rsid w:val="759004C4"/>
    <w:rsid w:val="76054E9F"/>
    <w:rsid w:val="761937B5"/>
    <w:rsid w:val="76494518"/>
    <w:rsid w:val="767C089F"/>
    <w:rsid w:val="77FF66EE"/>
    <w:rsid w:val="7880586F"/>
    <w:rsid w:val="789B6A68"/>
    <w:rsid w:val="793C27A7"/>
    <w:rsid w:val="7A8C2B0C"/>
    <w:rsid w:val="7AD973D3"/>
    <w:rsid w:val="7AFB2A62"/>
    <w:rsid w:val="7C6B6A4A"/>
    <w:rsid w:val="7C990623"/>
    <w:rsid w:val="7CD9628B"/>
    <w:rsid w:val="7D7B29C4"/>
    <w:rsid w:val="7DBF115D"/>
    <w:rsid w:val="7DCE5C24"/>
    <w:rsid w:val="7E3855A4"/>
    <w:rsid w:val="7E5D031B"/>
    <w:rsid w:val="7EC7407A"/>
    <w:rsid w:val="7F4038AB"/>
    <w:rsid w:val="7F840255"/>
    <w:rsid w:val="7FB672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iPriority="99" w:semiHidden="0"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qFormat/>
    <w:uiPriority w:val="9"/>
    <w:pPr>
      <w:widowControl/>
      <w:spacing w:before="480" w:after="360"/>
      <w:jc w:val="left"/>
      <w:outlineLvl w:val="1"/>
    </w:pPr>
    <w:rPr>
      <w:rFonts w:ascii="宋体" w:hAnsi="宋体" w:eastAsia="黑体"/>
      <w:b/>
      <w:bCs/>
      <w:kern w:val="0"/>
      <w:sz w:val="32"/>
      <w:szCs w:val="36"/>
    </w:rPr>
  </w:style>
  <w:style w:type="paragraph" w:styleId="4">
    <w:name w:val="heading 3"/>
    <w:basedOn w:val="1"/>
    <w:next w:val="1"/>
    <w:qFormat/>
    <w:uiPriority w:val="9"/>
    <w:pPr>
      <w:keepNext/>
      <w:keepLines/>
      <w:numPr>
        <w:ilvl w:val="0"/>
        <w:numId w:val="1"/>
      </w:numPr>
      <w:tabs>
        <w:tab w:val="left" w:pos="5852"/>
      </w:tabs>
      <w:snapToGrid w:val="0"/>
      <w:spacing w:before="360" w:line="240" w:lineRule="exact"/>
      <w:outlineLvl w:val="2"/>
    </w:pPr>
    <w:rPr>
      <w:b/>
      <w:sz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unhideWhenUsed/>
    <w:qFormat/>
    <w:uiPriority w:val="99"/>
    <w:pPr>
      <w:ind w:firstLine="420"/>
    </w:pPr>
  </w:style>
  <w:style w:type="paragraph" w:customStyle="1" w:styleId="6">
    <w:name w:val="正文样式"/>
    <w:basedOn w:val="1"/>
    <w:qFormat/>
    <w:uiPriority w:val="0"/>
    <w:pPr>
      <w:ind w:firstLine="480"/>
    </w:pPr>
    <w:rPr>
      <w:szCs w:val="20"/>
    </w:rPr>
  </w:style>
  <w:style w:type="paragraph" w:styleId="7">
    <w:name w:val="annotation text"/>
    <w:basedOn w:val="1"/>
    <w:semiHidden/>
    <w:unhideWhenUsed/>
    <w:qFormat/>
    <w:uiPriority w:val="99"/>
    <w:pPr>
      <w:jc w:val="left"/>
    </w:pPr>
  </w:style>
  <w:style w:type="paragraph" w:styleId="8">
    <w:name w:val="Body Text"/>
    <w:basedOn w:val="1"/>
    <w:next w:val="9"/>
    <w:unhideWhenUsed/>
    <w:qFormat/>
    <w:uiPriority w:val="0"/>
    <w:pPr>
      <w:spacing w:after="120"/>
    </w:pPr>
  </w:style>
  <w:style w:type="paragraph" w:styleId="9">
    <w:name w:val="Body Text 2"/>
    <w:basedOn w:val="1"/>
    <w:next w:val="1"/>
    <w:unhideWhenUsed/>
    <w:qFormat/>
    <w:uiPriority w:val="0"/>
    <w:pPr>
      <w:spacing w:after="120" w:line="480" w:lineRule="auto"/>
    </w:pPr>
  </w:style>
  <w:style w:type="paragraph" w:styleId="10">
    <w:name w:val="Balloon Text"/>
    <w:basedOn w:val="1"/>
    <w:link w:val="21"/>
    <w:autoRedefine/>
    <w:semiHidden/>
    <w:unhideWhenUsed/>
    <w:qFormat/>
    <w:uiPriority w:val="99"/>
    <w:rPr>
      <w:sz w:val="18"/>
      <w:szCs w:val="18"/>
    </w:rPr>
  </w:style>
  <w:style w:type="paragraph" w:styleId="11">
    <w:name w:val="footer"/>
    <w:basedOn w:val="1"/>
    <w:link w:val="20"/>
    <w:autoRedefine/>
    <w:unhideWhenUsed/>
    <w:qFormat/>
    <w:uiPriority w:val="99"/>
    <w:pPr>
      <w:tabs>
        <w:tab w:val="center" w:pos="4153"/>
        <w:tab w:val="right" w:pos="8306"/>
      </w:tabs>
      <w:snapToGrid w:val="0"/>
      <w:jc w:val="left"/>
    </w:pPr>
    <w:rPr>
      <w:sz w:val="18"/>
      <w:szCs w:val="18"/>
    </w:rPr>
  </w:style>
  <w:style w:type="paragraph" w:styleId="12">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qFormat/>
    <w:uiPriority w:val="0"/>
    <w:pPr>
      <w:jc w:val="left"/>
    </w:pPr>
    <w:rPr>
      <w:rFonts w:cs="Times New Roman"/>
      <w:kern w:val="0"/>
      <w:sz w:val="24"/>
    </w:rPr>
  </w:style>
  <w:style w:type="table" w:styleId="15">
    <w:name w:val="Table Grid"/>
    <w:basedOn w:val="1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line number"/>
    <w:basedOn w:val="16"/>
    <w:unhideWhenUsed/>
    <w:qFormat/>
    <w:uiPriority w:val="99"/>
    <w:rPr>
      <w:rFonts w:hint="default"/>
      <w:sz w:val="18"/>
      <w:szCs w:val="24"/>
    </w:rPr>
  </w:style>
  <w:style w:type="character" w:styleId="18">
    <w:name w:val="Hyperlink"/>
    <w:basedOn w:val="16"/>
    <w:autoRedefine/>
    <w:unhideWhenUsed/>
    <w:qFormat/>
    <w:uiPriority w:val="99"/>
    <w:rPr>
      <w:color w:val="0000FF" w:themeColor="hyperlink"/>
      <w:u w:val="single"/>
      <w14:textFill>
        <w14:solidFill>
          <w14:schemeClr w14:val="hlink"/>
        </w14:solidFill>
      </w14:textFill>
    </w:rPr>
  </w:style>
  <w:style w:type="character" w:customStyle="1" w:styleId="19">
    <w:name w:val="页眉 Char"/>
    <w:basedOn w:val="16"/>
    <w:link w:val="12"/>
    <w:autoRedefine/>
    <w:qFormat/>
    <w:uiPriority w:val="99"/>
    <w:rPr>
      <w:sz w:val="18"/>
      <w:szCs w:val="18"/>
    </w:rPr>
  </w:style>
  <w:style w:type="character" w:customStyle="1" w:styleId="20">
    <w:name w:val="页脚 Char"/>
    <w:basedOn w:val="16"/>
    <w:link w:val="11"/>
    <w:autoRedefine/>
    <w:qFormat/>
    <w:uiPriority w:val="99"/>
    <w:rPr>
      <w:sz w:val="18"/>
      <w:szCs w:val="18"/>
    </w:rPr>
  </w:style>
  <w:style w:type="character" w:customStyle="1" w:styleId="21">
    <w:name w:val="批注框文本 Char"/>
    <w:basedOn w:val="16"/>
    <w:link w:val="10"/>
    <w:autoRedefine/>
    <w:semiHidden/>
    <w:qFormat/>
    <w:uiPriority w:val="99"/>
    <w:rPr>
      <w:sz w:val="18"/>
      <w:szCs w:val="18"/>
    </w:rPr>
  </w:style>
  <w:style w:type="paragraph" w:styleId="22">
    <w:name w:val="List Paragraph"/>
    <w:basedOn w:val="1"/>
    <w:qFormat/>
    <w:uiPriority w:val="34"/>
    <w:pPr>
      <w:ind w:firstLine="420"/>
    </w:pPr>
    <w:rPr>
      <w:rFonts w:ascii="等线" w:hAnsi="等线" w:eastAsia="等线" w:cs="宋体"/>
    </w:rPr>
  </w:style>
  <w:style w:type="character" w:customStyle="1" w:styleId="23">
    <w:name w:val="Unresolved Mention"/>
    <w:basedOn w:val="16"/>
    <w:semiHidden/>
    <w:unhideWhenUsed/>
    <w:qFormat/>
    <w:uiPriority w:val="99"/>
    <w:rPr>
      <w:color w:val="605E5C"/>
      <w:shd w:val="clear" w:color="auto" w:fill="E1DFDD"/>
    </w:rPr>
  </w:style>
  <w:style w:type="paragraph" w:customStyle="1" w:styleId="24">
    <w:name w:val="封面项目编号"/>
    <w:basedOn w:val="1"/>
    <w:qFormat/>
    <w:uiPriority w:val="0"/>
    <w:pPr>
      <w:spacing w:after="2900"/>
    </w:pPr>
    <w:rPr>
      <w:rFonts w:eastAsia="黑体"/>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2738</Words>
  <Characters>2892</Characters>
  <Lines>14</Lines>
  <Paragraphs>3</Paragraphs>
  <TotalTime>2</TotalTime>
  <ScaleCrop>false</ScaleCrop>
  <LinksUpToDate>false</LinksUpToDate>
  <CharactersWithSpaces>2901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2023-10-11T07:46:00Z</dcterms:created>
  <dc:creator>PC</dc:creator>
  <cp:lastModifiedBy>王伟毅</cp:lastModifiedBy>
  <cp:lastPrinted>2025-07-23T03:26:00Z</cp:lastPrinted>
  <dcterms:modified xsi:type="dcterms:W3CDTF">2025-09-02T02:35:18Z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AB38C3778E8F468DB67231F65535D8AC_13</vt:lpwstr>
  </property>
  <property fmtid="{D5CDD505-2E9C-101B-9397-08002B2CF9AE}" pid="4" name="KSOTemplateDocerSaveRecord">
    <vt:lpwstr>eyJoZGlkIjoiZDhkODNjNjZjMzVjYjgzNTY1YzUzM2Q3YmVkOGEyNGEiLCJ1c2VySWQiOiI1MjY5MTk5NjkifQ==</vt:lpwstr>
  </property>
</Properties>
</file>