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F968">
      <w:pPr>
        <w:widowControl/>
        <w:spacing w:line="360" w:lineRule="auto"/>
        <w:jc w:val="center"/>
        <w:rPr>
          <w:rFonts w:hint="eastAsia" w:ascii="方正小标宋简体" w:hAnsi="方正小标宋简体" w:eastAsia="方正小标宋简体" w:cs="方正小标宋简体"/>
          <w:bCs/>
          <w:color w:val="0000FF"/>
          <w:kern w:val="0"/>
          <w:sz w:val="44"/>
          <w:szCs w:val="44"/>
        </w:rPr>
      </w:pPr>
      <w:bookmarkStart w:id="0" w:name="OLE_LINK1"/>
      <w:r>
        <w:rPr>
          <w:rFonts w:hint="eastAsia" w:ascii="方正小标宋简体" w:hAnsi="方正小标宋简体" w:eastAsia="方正小标宋简体" w:cs="方正小标宋简体"/>
          <w:bCs/>
          <w:color w:val="0000FF"/>
          <w:kern w:val="0"/>
          <w:sz w:val="44"/>
          <w:szCs w:val="44"/>
          <w:lang w:val="en-US" w:eastAsia="zh-CN"/>
        </w:rPr>
        <w:t xml:space="preserve"> </w:t>
      </w:r>
      <w:r>
        <w:rPr>
          <w:rFonts w:hint="eastAsia" w:ascii="方正小标宋简体" w:hAnsi="方正小标宋简体" w:eastAsia="方正小标宋简体" w:cs="方正小标宋简体"/>
          <w:bCs/>
          <w:color w:val="0000FF"/>
          <w:kern w:val="0"/>
          <w:sz w:val="44"/>
          <w:szCs w:val="44"/>
        </w:rPr>
        <w:t>厦门市中医院改扩建一期工程</w:t>
      </w:r>
    </w:p>
    <w:p w14:paraId="7BC1319B">
      <w:pPr>
        <w:widowControl/>
        <w:spacing w:line="360" w:lineRule="auto"/>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社会稳定风险评估报告编制单位招标公告</w:t>
      </w:r>
    </w:p>
    <w:p w14:paraId="0F93A476">
      <w:pPr>
        <w:widowControl/>
        <w:spacing w:line="360" w:lineRule="auto"/>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（院内谈判）</w:t>
      </w:r>
      <w:bookmarkEnd w:id="0"/>
    </w:p>
    <w:p w14:paraId="4FF1FF8F">
      <w:pPr>
        <w:widowControl/>
        <w:spacing w:line="360" w:lineRule="auto"/>
        <w:jc w:val="center"/>
        <w:rPr>
          <w:rFonts w:ascii="方正小标宋简体" w:hAnsi="方正小标宋简体" w:eastAsia="方正小标宋简体" w:cs="方正小标宋简体"/>
          <w:bCs/>
          <w:color w:val="000000" w:themeColor="text1"/>
          <w:kern w:val="0"/>
          <w:sz w:val="32"/>
          <w:szCs w:val="32"/>
          <w14:textFill>
            <w14:solidFill>
              <w14:schemeClr w14:val="tx1"/>
            </w14:solidFill>
          </w14:textFill>
        </w:rPr>
      </w:pPr>
    </w:p>
    <w:p w14:paraId="091D9616">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我院拟对</w:t>
      </w:r>
      <w:r>
        <w:rPr>
          <w:rFonts w:hint="eastAsia" w:ascii="仿宋_GB2312" w:hAnsi="仿宋_GB2312" w:eastAsia="仿宋_GB2312" w:cs="仿宋_GB2312"/>
          <w:color w:val="0000FF"/>
          <w:kern w:val="0"/>
          <w:sz w:val="32"/>
          <w:szCs w:val="32"/>
        </w:rPr>
        <w:t>厦门市中医院改扩建一期工程</w:t>
      </w:r>
      <w:r>
        <w:rPr>
          <w:rFonts w:hint="eastAsia" w:ascii="仿宋_GB2312" w:hAnsi="仿宋_GB2312" w:eastAsia="仿宋_GB2312" w:cs="仿宋_GB2312"/>
          <w:color w:val="000000"/>
          <w:kern w:val="0"/>
          <w:sz w:val="32"/>
          <w:szCs w:val="32"/>
        </w:rPr>
        <w:t>社会稳定风险评估报告编制单位</w:t>
      </w:r>
      <w:r>
        <w:rPr>
          <w:rFonts w:hint="eastAsia" w:ascii="仿宋_GB2312" w:hAnsi="仿宋_GB2312" w:eastAsia="仿宋_GB2312" w:cs="仿宋_GB2312"/>
          <w:color w:val="000000" w:themeColor="text1"/>
          <w:kern w:val="0"/>
          <w:sz w:val="32"/>
          <w:szCs w:val="32"/>
          <w14:textFill>
            <w14:solidFill>
              <w14:schemeClr w14:val="tx1"/>
            </w14:solidFill>
          </w14:textFill>
        </w:rPr>
        <w:t>进行院内谈判招标，</w:t>
      </w:r>
      <w:r>
        <w:rPr>
          <w:rFonts w:hint="eastAsia" w:ascii="仿宋_GB2312" w:hAnsi="仿宋_GB2312" w:eastAsia="仿宋_GB2312" w:cs="仿宋_GB2312"/>
          <w:color w:val="000000"/>
          <w:kern w:val="0"/>
          <w:sz w:val="32"/>
          <w:szCs w:val="32"/>
        </w:rPr>
        <w:t>要求参加投标单位应是具备独立企业法人资格。欢迎具备资质的工程咨询单位报名参加。</w:t>
      </w:r>
    </w:p>
    <w:p w14:paraId="2695C1F9">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一、投标要求：</w:t>
      </w:r>
    </w:p>
    <w:p w14:paraId="5CAE4DC1">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1、项目概况：</w:t>
      </w:r>
    </w:p>
    <w:p w14:paraId="026AE4EE">
      <w:pPr>
        <w:widowControl/>
        <w:spacing w:line="500" w:lineRule="exact"/>
        <w:ind w:firstLine="640" w:firstLineChars="200"/>
        <w:jc w:val="left"/>
        <w:rPr>
          <w:rFonts w:hint="eastAsia" w:ascii="仿宋_GB2312" w:hAnsi="仿宋_GB2312" w:eastAsia="仿宋_GB2312" w:cs="仿宋_GB2312"/>
          <w:color w:val="0000FF"/>
          <w:kern w:val="0"/>
          <w:sz w:val="32"/>
          <w:szCs w:val="32"/>
        </w:rPr>
      </w:pPr>
      <w:r>
        <w:rPr>
          <w:rFonts w:hint="eastAsia" w:ascii="仿宋_GB2312" w:hAnsi="仿宋_GB2312" w:eastAsia="仿宋_GB2312" w:cs="仿宋_GB2312"/>
          <w:color w:val="0000FF"/>
          <w:kern w:val="0"/>
          <w:sz w:val="32"/>
          <w:szCs w:val="32"/>
        </w:rPr>
        <w:t>项目位于湖里区市中医院总院区、南院区及总院南侧绿地，建设内容包括：</w:t>
      </w:r>
    </w:p>
    <w:p w14:paraId="7633DE93">
      <w:pPr>
        <w:widowControl/>
        <w:spacing w:line="500" w:lineRule="exact"/>
        <w:ind w:firstLine="640" w:firstLineChars="200"/>
        <w:jc w:val="left"/>
        <w:rPr>
          <w:rFonts w:hint="eastAsia" w:ascii="仿宋_GB2312" w:hAnsi="仿宋_GB2312" w:eastAsia="仿宋_GB2312" w:cs="仿宋_GB2312"/>
          <w:color w:val="0000FF"/>
          <w:kern w:val="0"/>
          <w:sz w:val="32"/>
          <w:szCs w:val="32"/>
        </w:rPr>
      </w:pPr>
      <w:r>
        <w:rPr>
          <w:rFonts w:hint="eastAsia" w:ascii="宋体" w:hAnsi="宋体" w:eastAsia="宋体" w:cs="宋体"/>
          <w:color w:val="0000FF"/>
          <w:kern w:val="0"/>
          <w:sz w:val="32"/>
          <w:szCs w:val="32"/>
        </w:rPr>
        <w:t>⑴</w:t>
      </w:r>
      <w:r>
        <w:rPr>
          <w:rFonts w:hint="eastAsia" w:ascii="仿宋_GB2312" w:hAnsi="仿宋_GB2312" w:eastAsia="仿宋_GB2312" w:cs="仿宋_GB2312"/>
          <w:color w:val="0000FF"/>
          <w:kern w:val="0"/>
          <w:sz w:val="32"/>
          <w:szCs w:val="32"/>
        </w:rPr>
        <w:t>中医院总院西侧建设门诊教学综合楼，新建地上建筑面积约35000平方米，主要建设内容为门诊、教学培训及配套用房等；</w:t>
      </w:r>
    </w:p>
    <w:p w14:paraId="19B5F723">
      <w:pPr>
        <w:widowControl/>
        <w:spacing w:line="500" w:lineRule="exact"/>
        <w:ind w:firstLine="640" w:firstLineChars="200"/>
        <w:jc w:val="left"/>
        <w:rPr>
          <w:rFonts w:hint="eastAsia" w:ascii="仿宋_GB2312" w:hAnsi="仿宋_GB2312" w:eastAsia="仿宋_GB2312" w:cs="仿宋_GB2312"/>
          <w:color w:val="0000FF"/>
          <w:kern w:val="0"/>
          <w:sz w:val="32"/>
          <w:szCs w:val="32"/>
        </w:rPr>
      </w:pPr>
      <w:r>
        <w:rPr>
          <w:rFonts w:hint="eastAsia" w:ascii="宋体" w:hAnsi="宋体" w:eastAsia="宋体" w:cs="宋体"/>
          <w:color w:val="0000FF"/>
          <w:kern w:val="0"/>
          <w:sz w:val="32"/>
          <w:szCs w:val="32"/>
        </w:rPr>
        <w:t>⑵</w:t>
      </w:r>
      <w:r>
        <w:rPr>
          <w:rFonts w:hint="eastAsia" w:ascii="仿宋_GB2312" w:hAnsi="仿宋_GB2312" w:eastAsia="仿宋_GB2312" w:cs="仿宋_GB2312"/>
          <w:color w:val="0000FF"/>
          <w:kern w:val="0"/>
          <w:sz w:val="32"/>
          <w:szCs w:val="32"/>
        </w:rPr>
        <w:t>中医院南区拆除配电房等辅助用房等，建设科研综合楼新建总建筑面积约20000平方米，其中，地上建筑面积约15000平方米，地下建筑面积约5000平方米；</w:t>
      </w:r>
    </w:p>
    <w:p w14:paraId="6E5E2DA7">
      <w:pPr>
        <w:widowControl/>
        <w:spacing w:line="500" w:lineRule="exact"/>
        <w:ind w:firstLine="640" w:firstLineChars="200"/>
        <w:jc w:val="left"/>
        <w:rPr>
          <w:rFonts w:hint="eastAsia" w:ascii="仿宋_GB2312" w:hAnsi="仿宋_GB2312" w:eastAsia="仿宋_GB2312" w:cs="仿宋_GB2312"/>
          <w:color w:val="0000FF"/>
          <w:kern w:val="0"/>
          <w:sz w:val="32"/>
          <w:szCs w:val="32"/>
        </w:rPr>
      </w:pPr>
      <w:r>
        <w:rPr>
          <w:rFonts w:hint="eastAsia" w:ascii="宋体" w:hAnsi="宋体" w:eastAsia="宋体" w:cs="宋体"/>
          <w:color w:val="0000FF"/>
          <w:kern w:val="0"/>
          <w:sz w:val="32"/>
          <w:szCs w:val="32"/>
        </w:rPr>
        <w:t>⑶</w:t>
      </w:r>
      <w:r>
        <w:rPr>
          <w:rFonts w:hint="eastAsia" w:ascii="仿宋_GB2312" w:hAnsi="仿宋_GB2312" w:eastAsia="仿宋_GB2312" w:cs="仿宋_GB2312"/>
          <w:color w:val="0000FF"/>
          <w:kern w:val="0"/>
          <w:sz w:val="32"/>
          <w:szCs w:val="32"/>
        </w:rPr>
        <w:t>利用总院现有地下空间和南侧市政防护绿地建设地下停车场，地下总用地面积约16652平方米（其中总院区建设用地范围内地下用地面积约11180平方米，南侧新增地下用地面积约5472平方米），新建地下建筑面积约19200平方米。</w:t>
      </w:r>
    </w:p>
    <w:p w14:paraId="632790C2">
      <w:pPr>
        <w:widowControl/>
        <w:spacing w:line="500" w:lineRule="exact"/>
        <w:ind w:firstLine="640" w:firstLineChars="200"/>
        <w:jc w:val="left"/>
        <w:rPr>
          <w:rFonts w:ascii="仿宋_GB2312" w:hAnsi="仿宋_GB2312" w:eastAsia="仿宋_GB2312" w:cs="仿宋_GB2312"/>
          <w:color w:val="0000FF"/>
          <w:kern w:val="0"/>
          <w:sz w:val="32"/>
          <w:szCs w:val="32"/>
        </w:rPr>
      </w:pPr>
      <w:r>
        <w:rPr>
          <w:rFonts w:hint="eastAsia" w:ascii="仿宋_GB2312" w:hAnsi="仿宋_GB2312" w:eastAsia="仿宋_GB2312" w:cs="仿宋_GB2312"/>
          <w:color w:val="0000FF"/>
          <w:kern w:val="0"/>
          <w:sz w:val="32"/>
          <w:szCs w:val="32"/>
          <w:highlight w:val="yellow"/>
        </w:rPr>
        <w:t>项目预计总投资64341.17万元</w:t>
      </w:r>
      <w:r>
        <w:rPr>
          <w:rFonts w:hint="eastAsia" w:ascii="仿宋_GB2312" w:hAnsi="仿宋_GB2312" w:eastAsia="仿宋_GB2312" w:cs="仿宋_GB2312"/>
          <w:color w:val="0000FF"/>
          <w:kern w:val="0"/>
          <w:sz w:val="32"/>
          <w:szCs w:val="32"/>
        </w:rPr>
        <w:t>（不含智能化与医疗设备工程），其中建筑安装工程费53189.00万元，工程建设其他费6382.67万元，基本预备费4769.50万元。另估智能化与医疗设备工程6965.14万元，共计总投资71306.31万元。</w:t>
      </w:r>
    </w:p>
    <w:p w14:paraId="4474EA90">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2、服务内容：</w:t>
      </w:r>
    </w:p>
    <w:p w14:paraId="136BA896">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社会稳定风险分析开展评估论证。包括评估论证过程中各个阶段所有可能发生的一切事项，包括但不限于对社会稳定风险分析开展评估论证全过程技术咨询服务、指导、专家评审及申报等内容，直至确定通过社会稳定风险分析备案。招标人有权根据实际项目实际情况对中标人提出具体的服务要求，中标人不得有异议。</w:t>
      </w:r>
    </w:p>
    <w:p w14:paraId="0ED27400">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3、编制建设项目社会稳定风险分析报告的基准收费标准：</w:t>
      </w:r>
    </w:p>
    <w:p w14:paraId="2DD08D64">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参照上海市关于社会稳定风险评估收费标准（沪发改投（2012）130号文），按照评价建设项目社会稳定风险评估报告的基准收费标准取费，</w:t>
      </w:r>
      <w:r>
        <w:rPr>
          <w:rFonts w:hint="eastAsia" w:ascii="仿宋_GB2312" w:hAnsi="仿宋_GB2312" w:eastAsia="仿宋_GB2312" w:cs="仿宋_GB2312"/>
          <w:color w:val="000000"/>
          <w:kern w:val="0"/>
          <w:sz w:val="32"/>
          <w:szCs w:val="32"/>
          <w:highlight w:val="yellow"/>
        </w:rPr>
        <w:t>且最高取费为</w:t>
      </w:r>
      <w:r>
        <w:rPr>
          <w:rFonts w:hint="eastAsia" w:ascii="仿宋_GB2312" w:hAnsi="仿宋_GB2312" w:eastAsia="仿宋_GB2312" w:cs="仿宋_GB2312"/>
          <w:color w:val="000000"/>
          <w:kern w:val="0"/>
          <w:sz w:val="32"/>
          <w:szCs w:val="32"/>
          <w:highlight w:val="yellow"/>
          <w:lang w:val="en-US" w:eastAsia="zh-CN"/>
        </w:rPr>
        <w:t>13.57</w:t>
      </w:r>
      <w:r>
        <w:rPr>
          <w:rFonts w:hint="eastAsia" w:ascii="仿宋_GB2312" w:hAnsi="仿宋_GB2312" w:eastAsia="仿宋_GB2312" w:cs="仿宋_GB2312"/>
          <w:color w:val="000000"/>
          <w:kern w:val="0"/>
          <w:sz w:val="32"/>
          <w:szCs w:val="32"/>
          <w:highlight w:val="yellow"/>
        </w:rPr>
        <w:t>万元。</w:t>
      </w:r>
    </w:p>
    <w:p w14:paraId="33B2753B">
      <w:pPr>
        <w:widowControl/>
        <w:numPr>
          <w:ilvl w:val="0"/>
          <w:numId w:val="1"/>
        </w:numPr>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质量要求：</w:t>
      </w:r>
    </w:p>
    <w:p w14:paraId="0046A861">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满足国家发改委《关于重大投资项目社会稳定风险评估暂行办法》（发改投资〔2012〕2492号）和厦门市政法委等发布的《厦门市重大固定资产投资项目社会稳定风险评估办法》（厦委政〔2020〕36号）审批审查的技术要求。</w:t>
      </w:r>
    </w:p>
    <w:p w14:paraId="74956973">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5、工期要求：</w:t>
      </w:r>
    </w:p>
    <w:p w14:paraId="2AFE3A3A">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15个工作日内完成对社会稳定风险分析开展评估论证工作，且应及时报市委政法委备案，并根据市委政法委备案审查意见，对项目社会稳定风险评估报告进行完善。</w:t>
      </w:r>
    </w:p>
    <w:p w14:paraId="109DB399">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6、报价：</w:t>
      </w:r>
    </w:p>
    <w:p w14:paraId="5AD8E278">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投标人书面报出总价，小于等于控制价，否则视为无效投标。报价含税费等一切相关费用。</w:t>
      </w:r>
    </w:p>
    <w:p w14:paraId="38E618D4">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7、控制价：</w:t>
      </w:r>
    </w:p>
    <w:p w14:paraId="388BA500">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社会稳定风险评估编制咨询费用控制价为</w:t>
      </w:r>
      <w:r>
        <w:rPr>
          <w:rFonts w:hint="eastAsia" w:ascii="仿宋_GB2312" w:hAnsi="仿宋_GB2312" w:eastAsia="仿宋_GB2312" w:cs="仿宋_GB2312"/>
          <w:color w:val="000000"/>
          <w:kern w:val="0"/>
          <w:sz w:val="32"/>
          <w:szCs w:val="32"/>
          <w:highlight w:val="yellow"/>
          <w:lang w:val="en-US" w:eastAsia="zh-CN"/>
        </w:rPr>
        <w:t>9.94</w:t>
      </w:r>
      <w:r>
        <w:rPr>
          <w:rFonts w:hint="eastAsia" w:ascii="仿宋_GB2312" w:hAnsi="仿宋_GB2312" w:eastAsia="仿宋_GB2312" w:cs="仿宋_GB2312"/>
          <w:color w:val="000000"/>
          <w:kern w:val="0"/>
          <w:sz w:val="32"/>
          <w:szCs w:val="32"/>
        </w:rPr>
        <w:t>万元。</w:t>
      </w:r>
    </w:p>
    <w:p w14:paraId="2BAEE55F">
      <w:pPr>
        <w:widowControl/>
        <w:spacing w:line="50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8、报价人条件：</w:t>
      </w:r>
    </w:p>
    <w:p w14:paraId="74A8B0F3">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1）报价人应具备独立的法人资格，并提供工商营业执照（副本）复印件（加盖单位公章）。</w:t>
      </w:r>
    </w:p>
    <w:p w14:paraId="44420B77">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2）报价人应具备工程咨询甲级资信或法定评估职能的咨询资质，并提供工程咨询备案证明或资信等级证明复印件（加盖单位公章）。</w:t>
      </w:r>
    </w:p>
    <w:p w14:paraId="0EAA6C46">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3）报价人应具备同类型相关业绩，并提供业绩项目清单（加盖单位公章）。</w:t>
      </w:r>
    </w:p>
    <w:p w14:paraId="4C0A288B">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4）相关服务承诺。</w:t>
      </w:r>
      <w:r>
        <w:rPr>
          <w:rFonts w:hint="eastAsia" w:ascii="仿宋_GB2312" w:hAnsi="仿宋_GB2312" w:eastAsia="仿宋_GB2312" w:cs="仿宋_GB2312"/>
          <w:color w:val="000000"/>
          <w:kern w:val="0"/>
          <w:sz w:val="32"/>
          <w:szCs w:val="32"/>
        </w:rPr>
        <w:tab/>
      </w:r>
    </w:p>
    <w:p w14:paraId="6A18D7B9">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5）报价单（加盖单位公章）。</w:t>
      </w:r>
    </w:p>
    <w:p w14:paraId="74CAB567">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6）本项目不接受联合体。</w:t>
      </w:r>
    </w:p>
    <w:p w14:paraId="47CD319E">
      <w:pPr>
        <w:widowControl/>
        <w:spacing w:line="500" w:lineRule="exact"/>
        <w:ind w:firstLine="465"/>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投标单位应提供承诺书加盖公章，承诺完全响应以上</w:t>
      </w:r>
      <w:r>
        <w:rPr>
          <w:rFonts w:hint="eastAsia" w:ascii="仿宋_GB2312" w:hAnsi="仿宋_GB2312" w:eastAsia="仿宋_GB2312" w:cs="仿宋_GB2312"/>
          <w:b/>
          <w:color w:val="000000" w:themeColor="text1"/>
          <w:kern w:val="0"/>
          <w:sz w:val="32"/>
          <w:szCs w:val="32"/>
          <w14:textFill>
            <w14:solidFill>
              <w14:schemeClr w14:val="tx1"/>
            </w14:solidFill>
          </w14:textFill>
        </w:rPr>
        <w:t>采购项目规格要求</w:t>
      </w:r>
      <w:r>
        <w:rPr>
          <w:rFonts w:hint="eastAsia" w:ascii="仿宋_GB2312" w:hAnsi="仿宋_GB2312" w:eastAsia="仿宋_GB2312" w:cs="仿宋_GB2312"/>
          <w:b/>
          <w:color w:val="000000"/>
          <w:kern w:val="0"/>
          <w:sz w:val="32"/>
          <w:szCs w:val="32"/>
        </w:rPr>
        <w:t>，否则视为无效响应。</w:t>
      </w:r>
    </w:p>
    <w:p w14:paraId="06DB0725">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二、报价要求：</w:t>
      </w:r>
    </w:p>
    <w:p w14:paraId="58D1AE0F">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各投标单位自行实地考查后,根据医院提出的招标要求，书面报出总价。招标文件中所述要求，应视为保证实现本项目社稳编制所需要的最低要求，如有遗漏，投标单位应予以补充，否则，一旦成交将认为投标单位认同遗漏部分并免费提供。</w:t>
      </w:r>
    </w:p>
    <w:p w14:paraId="021099B7">
      <w:pPr>
        <w:widowControl/>
        <w:spacing w:line="500" w:lineRule="exact"/>
        <w:ind w:firstLine="640" w:firstLineChars="200"/>
        <w:jc w:val="left"/>
        <w:rPr>
          <w:rFonts w:ascii="仿宋_GB2312" w:hAnsi="仿宋_GB2312" w:eastAsia="仿宋_GB2312" w:cs="仿宋_GB2312"/>
          <w:color w:val="000000"/>
          <w:kern w:val="0"/>
          <w:sz w:val="32"/>
          <w:szCs w:val="32"/>
        </w:rPr>
      </w:pPr>
      <w:bookmarkStart w:id="1" w:name="_Toc110678974"/>
      <w:r>
        <w:rPr>
          <w:rFonts w:hint="eastAsia" w:ascii="仿宋_GB2312" w:hAnsi="仿宋_GB2312" w:eastAsia="仿宋_GB2312" w:cs="仿宋_GB2312"/>
          <w:color w:val="000000"/>
          <w:kern w:val="0"/>
          <w:sz w:val="32"/>
          <w:szCs w:val="32"/>
        </w:rPr>
        <w:t>2、本项目为总价包干，投标总价包括但不限于：业务主管部门报备、审核批复所需的服务内容；如有遗漏，报价人应予补充,否则，一旦成交将认为报价人认同遗漏部分并免费提供；报价包括发票税费。</w:t>
      </w:r>
    </w:p>
    <w:p w14:paraId="62280D2B">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bookmarkEnd w:id="1"/>
      <w:r>
        <w:rPr>
          <w:rFonts w:hint="eastAsia" w:ascii="仿宋_GB2312" w:hAnsi="仿宋_GB2312" w:eastAsia="仿宋_GB2312" w:cs="仿宋_GB2312"/>
          <w:color w:val="000000"/>
          <w:kern w:val="0"/>
          <w:sz w:val="32"/>
          <w:szCs w:val="32"/>
        </w:rPr>
        <w:t>报价应包含但不限于过程中所发生的人工、交通、专家评审费用及税收等一切相关费用，投标人应结合企业自身实力自行填报投标价，中标后不再调整。报价文件中标明的价格在合同执行过程中是固定不变的，不得以任何理由予以变更。以可变动价格提交的报价将被认为是非实质响应而被拒绝。</w:t>
      </w:r>
    </w:p>
    <w:p w14:paraId="6C37A7E9">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4、报价人只能有一个报价，不接受有选择的报价。</w:t>
      </w:r>
    </w:p>
    <w:p w14:paraId="32B62169">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三、服务要求：</w:t>
      </w:r>
    </w:p>
    <w:p w14:paraId="6CFE57F7">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完全响应招标文件的要求，符合</w:t>
      </w:r>
      <w:r>
        <w:rPr>
          <w:rFonts w:hint="eastAsia" w:ascii="仿宋_GB2312" w:hAnsi="仿宋_GB2312" w:eastAsia="仿宋_GB2312" w:cs="仿宋_GB2312"/>
          <w:color w:val="000000"/>
          <w:kern w:val="0"/>
          <w:sz w:val="32"/>
          <w:szCs w:val="32"/>
        </w:rPr>
        <w:t>国家发改委《关于重大投资项目社会稳定风险评估暂行办法》（发改投资〔2012〕2492号）和厦门市政法委等发布的《厦门市重大固定资产投资项目社会稳定风险评估办法》（厦委政〔2020〕36号）审批审查的技术要求，验收报告通过厦门市政法委备案。</w:t>
      </w:r>
    </w:p>
    <w:p w14:paraId="3C3211EF">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四、工期要求：</w:t>
      </w:r>
    </w:p>
    <w:p w14:paraId="59B40619">
      <w:pPr>
        <w:widowControl/>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15个工作日内完成对社会稳定风险分析开展评估论证工作，且应及时报市委政法委备案，并根据市委政法委备案审查意见，对项目社会稳定风险评估报告进行完善。</w:t>
      </w:r>
    </w:p>
    <w:p w14:paraId="6CBA2884">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五、交货地点：</w:t>
      </w:r>
    </w:p>
    <w:p w14:paraId="42CF4742">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厦门市中医院。</w:t>
      </w:r>
    </w:p>
    <w:p w14:paraId="125948CE">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六、投标文件编制：</w:t>
      </w:r>
    </w:p>
    <w:p w14:paraId="188D879C">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sz w:val="32"/>
          <w:szCs w:val="32"/>
        </w:rPr>
        <w:t>投标单位的营业执照、税务登记证、组织机构代码证复印件（如三证合一，只需提供营业执照）并加盖公章。</w:t>
      </w:r>
    </w:p>
    <w:p w14:paraId="373AB22C">
      <w:pPr>
        <w:spacing w:line="50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sz w:val="32"/>
          <w:szCs w:val="32"/>
        </w:rPr>
        <w:t>投标人是法人的，应提供法人身份证复印件并加盖公章。投标人不是法人的，应持有法人代表委托授权书和投标人身份证复印件并加盖公章。</w:t>
      </w:r>
    </w:p>
    <w:p w14:paraId="01C4B3C7">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3、书面提供报价单及采购项目规格要求承诺书并加盖公章。</w:t>
      </w:r>
    </w:p>
    <w:p w14:paraId="4DF47AB1">
      <w:pPr>
        <w:widowControl/>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4、投标单位认为需要提供的其它说明和资料。</w:t>
      </w:r>
    </w:p>
    <w:p w14:paraId="13DB16E4">
      <w:pPr>
        <w:widowControl/>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sz w:val="32"/>
          <w:szCs w:val="32"/>
        </w:rPr>
        <w:t>投标文件编制的费用自理，招标单位不再需要支出任何费用。投标文件一式两份，放入档案袋内完好密封，封口处加盖公章，并注明所投项目名称、投标联系人及联系方式。</w:t>
      </w:r>
    </w:p>
    <w:p w14:paraId="143A1A39">
      <w:pPr>
        <w:widowControl/>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6、投标单位应对所提供的投标文件资料逐项加盖公章，若某项内容材料有2页以上的，应逐页加盖公章或加盖骑缝章，投标文件应装订成册，不得活页装订。所有原件备查。</w:t>
      </w:r>
    </w:p>
    <w:p w14:paraId="678C8B16">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七、截止日期：</w:t>
      </w:r>
    </w:p>
    <w:p w14:paraId="07AD1FB8">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2025年</w:t>
      </w:r>
      <w:r>
        <w:rPr>
          <w:rFonts w:hint="eastAsia" w:ascii="仿宋_GB2312" w:hAnsi="仿宋_GB2312" w:eastAsia="仿宋_GB2312" w:cs="仿宋_GB2312"/>
          <w:color w:val="000000" w:themeColor="text1"/>
          <w:kern w:val="0"/>
          <w:sz w:val="32"/>
          <w:szCs w:val="32"/>
          <w:highlight w:val="yellow"/>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yellow"/>
          <w:lang w:val="en-US" w:eastAsia="zh-CN"/>
          <w14:textFill>
            <w14:solidFill>
              <w14:schemeClr w14:val="tx1"/>
            </w14:solidFill>
          </w14:textFill>
        </w:rPr>
        <w:t>27</w:t>
      </w:r>
      <w:r>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t>日下</w:t>
      </w:r>
      <w:r>
        <w:rPr>
          <w:rFonts w:hint="eastAsia" w:ascii="仿宋_GB2312" w:hAnsi="仿宋_GB2312" w:eastAsia="仿宋_GB2312" w:cs="仿宋_GB2312"/>
          <w:color w:val="000000" w:themeColor="text1"/>
          <w:kern w:val="0"/>
          <w:sz w:val="32"/>
          <w:szCs w:val="32"/>
          <w14:textFill>
            <w14:solidFill>
              <w14:schemeClr w14:val="tx1"/>
            </w14:solidFill>
          </w14:textFill>
        </w:rPr>
        <w:t>午17：30止，</w:t>
      </w:r>
      <w:r>
        <w:rPr>
          <w:rFonts w:hint="eastAsia" w:ascii="仿宋_GB2312" w:hAnsi="仿宋_GB2312" w:eastAsia="仿宋_GB2312" w:cs="仿宋_GB2312"/>
          <w:sz w:val="32"/>
          <w:szCs w:val="32"/>
        </w:rPr>
        <w:t>逾期不予受理。文件接受通过邮寄方式送达</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08F28DD1">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八、投标文件接收地点及联系：</w:t>
      </w:r>
    </w:p>
    <w:p w14:paraId="4EB9818B">
      <w:pPr>
        <w:widowControl/>
        <w:spacing w:line="50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1、地    点：厦门市中医院</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后勤保障部</w:t>
      </w:r>
    </w:p>
    <w:p w14:paraId="2C742F54">
      <w:pPr>
        <w:widowControl/>
        <w:spacing w:line="50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邓工，宣工</w:t>
      </w:r>
    </w:p>
    <w:p w14:paraId="1C03BFBE">
      <w:pPr>
        <w:widowControl/>
        <w:spacing w:line="50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3、联系电话：0592-557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9020，</w:t>
      </w:r>
      <w:r>
        <w:rPr>
          <w:rFonts w:hint="eastAsia" w:ascii="仿宋_GB2312" w:hAnsi="仿宋_GB2312" w:eastAsia="仿宋_GB2312" w:cs="仿宋_GB2312"/>
          <w:color w:val="000000" w:themeColor="text1"/>
          <w:kern w:val="0"/>
          <w:sz w:val="32"/>
          <w:szCs w:val="32"/>
          <w14:textFill>
            <w14:solidFill>
              <w14:schemeClr w14:val="tx1"/>
            </w14:solidFill>
          </w14:textFill>
        </w:rPr>
        <w:t>0592-557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9629</w:t>
      </w:r>
    </w:p>
    <w:p w14:paraId="0770CE9F">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九、确定成交候选供应商原则</w:t>
      </w:r>
      <w:bookmarkStart w:id="2" w:name="_GoBack"/>
      <w:bookmarkEnd w:id="2"/>
    </w:p>
    <w:p w14:paraId="61C19651">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1、首次公告时，提交最后报价且未超过采购预算的投标单位在3家以上的（含3家），则按照规定确定成交候选供应商，否则本次招标活动终止，招标单位将就该项目重新发布采购公告。</w:t>
      </w:r>
    </w:p>
    <w:p w14:paraId="5AE99EC1">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2、如本项目已经过再次公告，提交最后报价且未超过采购预算的投标单位不足3家但在1家以上的（含1家），则按照规定确定成交候选供应商，否则本次招标工作终止，招标单位将就该项目重新发布采购公告。</w:t>
      </w:r>
    </w:p>
    <w:p w14:paraId="6A9EB7A0">
      <w:pPr>
        <w:widowControl/>
        <w:spacing w:line="500"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十、其他</w:t>
      </w:r>
    </w:p>
    <w:p w14:paraId="74559970">
      <w:pPr>
        <w:widowControl/>
        <w:spacing w:line="5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采购单位按医院有关规定成立评标小组。不符合采购文件要求的投标文件按无效标处理。开标时间将另行电话通知。</w:t>
      </w:r>
    </w:p>
    <w:p w14:paraId="141438C7">
      <w:pPr>
        <w:widowControl/>
        <w:wordWrap w:val="0"/>
        <w:spacing w:line="500" w:lineRule="exact"/>
        <w:jc w:val="righ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Cs/>
          <w:color w:val="000000" w:themeColor="text1"/>
          <w:kern w:val="0"/>
          <w:sz w:val="32"/>
          <w:szCs w:val="32"/>
          <w14:textFill>
            <w14:solidFill>
              <w14:schemeClr w14:val="tx1"/>
            </w14:solidFill>
          </w14:textFill>
        </w:rPr>
        <w:t xml:space="preserve">厦门市中医院  </w:t>
      </w:r>
    </w:p>
    <w:p w14:paraId="5C2CFCF5">
      <w:pPr>
        <w:widowControl/>
        <w:spacing w:line="5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2025年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sectPr>
      <w:headerReference r:id="rId3" w:type="default"/>
      <w:footerReference r:id="rId4" w:type="default"/>
      <w:pgSz w:w="11906" w:h="16838"/>
      <w:pgMar w:top="1134" w:right="1418" w:bottom="1134" w:left="141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612B27-983B-432A-8C4F-301E869484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123EF3-7E1F-4D15-9839-869FEF78E2DF}"/>
  </w:font>
  <w:font w:name="楷体">
    <w:panose1 w:val="02010609060101010101"/>
    <w:charset w:val="86"/>
    <w:family w:val="modern"/>
    <w:pitch w:val="default"/>
    <w:sig w:usb0="800002BF" w:usb1="38CF7CFA" w:usb2="00000016" w:usb3="00000000" w:csb0="00040001" w:csb1="00000000"/>
    <w:embedRegular r:id="rId3" w:fontKey="{1CC18A84-E1FE-406A-BC62-BA282DFFD033}"/>
  </w:font>
  <w:font w:name="方正小标宋简体">
    <w:panose1 w:val="02000000000000000000"/>
    <w:charset w:val="86"/>
    <w:family w:val="auto"/>
    <w:pitch w:val="default"/>
    <w:sig w:usb0="00000001" w:usb1="08000000" w:usb2="00000000" w:usb3="00000000" w:csb0="00040000" w:csb1="00000000"/>
    <w:embedRegular r:id="rId4" w:fontKey="{F8798D8C-A13A-4EA9-93BC-6E1BC5C72255}"/>
  </w:font>
  <w:font w:name="仿宋_GB2312">
    <w:panose1 w:val="02010609030101010101"/>
    <w:charset w:val="86"/>
    <w:family w:val="modern"/>
    <w:pitch w:val="default"/>
    <w:sig w:usb0="00000001" w:usb1="080E0000" w:usb2="00000000" w:usb3="00000000" w:csb0="00040000" w:csb1="00000000"/>
    <w:embedRegular r:id="rId5" w:fontKey="{AC94F799-0C64-4686-B083-18FED10E3DA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69032"/>
    </w:sdtPr>
    <w:sdtContent>
      <w:p w14:paraId="5B2D1551">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0BE1F7B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759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F7363"/>
    <w:multiLevelType w:val="singleLevel"/>
    <w:tmpl w:val="C4CF736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TNlOGZiY2YxYmNlZTY5NjQ4NDE1YzhkOTEzOWEifQ=="/>
  </w:docVars>
  <w:rsids>
    <w:rsidRoot w:val="00555716"/>
    <w:rsid w:val="00002D39"/>
    <w:rsid w:val="00012ABF"/>
    <w:rsid w:val="00014F62"/>
    <w:rsid w:val="0003009F"/>
    <w:rsid w:val="0004408B"/>
    <w:rsid w:val="00051BEE"/>
    <w:rsid w:val="0005271C"/>
    <w:rsid w:val="000564C7"/>
    <w:rsid w:val="00067205"/>
    <w:rsid w:val="000674B3"/>
    <w:rsid w:val="0007075D"/>
    <w:rsid w:val="0007600D"/>
    <w:rsid w:val="00076AF7"/>
    <w:rsid w:val="000814C4"/>
    <w:rsid w:val="0008633D"/>
    <w:rsid w:val="00097C63"/>
    <w:rsid w:val="000A0FFE"/>
    <w:rsid w:val="000A30AC"/>
    <w:rsid w:val="000A3237"/>
    <w:rsid w:val="000A4E66"/>
    <w:rsid w:val="000A523A"/>
    <w:rsid w:val="000B5640"/>
    <w:rsid w:val="000B5E98"/>
    <w:rsid w:val="000C0012"/>
    <w:rsid w:val="000C055B"/>
    <w:rsid w:val="000C51FE"/>
    <w:rsid w:val="000D0493"/>
    <w:rsid w:val="000D6A0C"/>
    <w:rsid w:val="000D7514"/>
    <w:rsid w:val="000F2AF0"/>
    <w:rsid w:val="000F3C5E"/>
    <w:rsid w:val="000F738C"/>
    <w:rsid w:val="00106213"/>
    <w:rsid w:val="00106A62"/>
    <w:rsid w:val="001150AA"/>
    <w:rsid w:val="00117048"/>
    <w:rsid w:val="00120D21"/>
    <w:rsid w:val="00121587"/>
    <w:rsid w:val="00122252"/>
    <w:rsid w:val="00124280"/>
    <w:rsid w:val="00124DC0"/>
    <w:rsid w:val="00126381"/>
    <w:rsid w:val="001310F1"/>
    <w:rsid w:val="00132539"/>
    <w:rsid w:val="00140040"/>
    <w:rsid w:val="00141A8C"/>
    <w:rsid w:val="0014273E"/>
    <w:rsid w:val="001440B8"/>
    <w:rsid w:val="00150316"/>
    <w:rsid w:val="00160046"/>
    <w:rsid w:val="0016046F"/>
    <w:rsid w:val="00163EF4"/>
    <w:rsid w:val="00164188"/>
    <w:rsid w:val="00166B89"/>
    <w:rsid w:val="00172B89"/>
    <w:rsid w:val="00174B0F"/>
    <w:rsid w:val="00176254"/>
    <w:rsid w:val="001854C6"/>
    <w:rsid w:val="00187BA4"/>
    <w:rsid w:val="00190BC4"/>
    <w:rsid w:val="0019365E"/>
    <w:rsid w:val="00196AFB"/>
    <w:rsid w:val="001A4003"/>
    <w:rsid w:val="001B2740"/>
    <w:rsid w:val="001B7DD4"/>
    <w:rsid w:val="001C1E64"/>
    <w:rsid w:val="001C25E6"/>
    <w:rsid w:val="001C2AEE"/>
    <w:rsid w:val="001C398F"/>
    <w:rsid w:val="001D2227"/>
    <w:rsid w:val="001E3868"/>
    <w:rsid w:val="001E6F1F"/>
    <w:rsid w:val="001F23AB"/>
    <w:rsid w:val="001F6D4A"/>
    <w:rsid w:val="00202216"/>
    <w:rsid w:val="00203C4B"/>
    <w:rsid w:val="00206BC3"/>
    <w:rsid w:val="00213746"/>
    <w:rsid w:val="002139F0"/>
    <w:rsid w:val="00216F07"/>
    <w:rsid w:val="002211A8"/>
    <w:rsid w:val="0022548C"/>
    <w:rsid w:val="002327B2"/>
    <w:rsid w:val="00236553"/>
    <w:rsid w:val="00236ADD"/>
    <w:rsid w:val="002432AA"/>
    <w:rsid w:val="00251CFC"/>
    <w:rsid w:val="00254114"/>
    <w:rsid w:val="00263B91"/>
    <w:rsid w:val="0027363E"/>
    <w:rsid w:val="002740BB"/>
    <w:rsid w:val="002756DB"/>
    <w:rsid w:val="0027698B"/>
    <w:rsid w:val="00277761"/>
    <w:rsid w:val="00284514"/>
    <w:rsid w:val="00285A16"/>
    <w:rsid w:val="002926C1"/>
    <w:rsid w:val="00296F0A"/>
    <w:rsid w:val="002A257B"/>
    <w:rsid w:val="002B2061"/>
    <w:rsid w:val="002C2E9C"/>
    <w:rsid w:val="002D5A91"/>
    <w:rsid w:val="002E3042"/>
    <w:rsid w:val="002E46AD"/>
    <w:rsid w:val="002F17C8"/>
    <w:rsid w:val="002F5B75"/>
    <w:rsid w:val="002F647D"/>
    <w:rsid w:val="002F6B5D"/>
    <w:rsid w:val="0030385C"/>
    <w:rsid w:val="00305EB7"/>
    <w:rsid w:val="00306BEF"/>
    <w:rsid w:val="00307BF2"/>
    <w:rsid w:val="0031018F"/>
    <w:rsid w:val="003130D4"/>
    <w:rsid w:val="003222A5"/>
    <w:rsid w:val="003254E7"/>
    <w:rsid w:val="003261CC"/>
    <w:rsid w:val="00335E26"/>
    <w:rsid w:val="0034392C"/>
    <w:rsid w:val="00344AD7"/>
    <w:rsid w:val="00357D0C"/>
    <w:rsid w:val="00363542"/>
    <w:rsid w:val="00370220"/>
    <w:rsid w:val="00370B79"/>
    <w:rsid w:val="00373299"/>
    <w:rsid w:val="00393F86"/>
    <w:rsid w:val="003949EA"/>
    <w:rsid w:val="003A2B16"/>
    <w:rsid w:val="003A77CC"/>
    <w:rsid w:val="003A7841"/>
    <w:rsid w:val="003B1764"/>
    <w:rsid w:val="003C3876"/>
    <w:rsid w:val="003C46FF"/>
    <w:rsid w:val="003E2F40"/>
    <w:rsid w:val="003F575A"/>
    <w:rsid w:val="003F5FB0"/>
    <w:rsid w:val="003F7A4D"/>
    <w:rsid w:val="00401C83"/>
    <w:rsid w:val="00403B7B"/>
    <w:rsid w:val="004059A1"/>
    <w:rsid w:val="004141DB"/>
    <w:rsid w:val="004149C1"/>
    <w:rsid w:val="0042185F"/>
    <w:rsid w:val="00422160"/>
    <w:rsid w:val="00426788"/>
    <w:rsid w:val="004309F9"/>
    <w:rsid w:val="00430CE9"/>
    <w:rsid w:val="00432B5C"/>
    <w:rsid w:val="00432BD7"/>
    <w:rsid w:val="0044145D"/>
    <w:rsid w:val="004431D8"/>
    <w:rsid w:val="00444D90"/>
    <w:rsid w:val="0044654C"/>
    <w:rsid w:val="00451641"/>
    <w:rsid w:val="00454513"/>
    <w:rsid w:val="00461E37"/>
    <w:rsid w:val="00464492"/>
    <w:rsid w:val="00466C82"/>
    <w:rsid w:val="00466EB5"/>
    <w:rsid w:val="0046733E"/>
    <w:rsid w:val="00472B96"/>
    <w:rsid w:val="004825EE"/>
    <w:rsid w:val="00485B65"/>
    <w:rsid w:val="0049681A"/>
    <w:rsid w:val="004A519F"/>
    <w:rsid w:val="004B32AC"/>
    <w:rsid w:val="004B366F"/>
    <w:rsid w:val="004B4795"/>
    <w:rsid w:val="004C54C4"/>
    <w:rsid w:val="004D1E47"/>
    <w:rsid w:val="004D3BE8"/>
    <w:rsid w:val="004D4EA3"/>
    <w:rsid w:val="004E36D1"/>
    <w:rsid w:val="004E4314"/>
    <w:rsid w:val="004E4D4D"/>
    <w:rsid w:val="004E7B4F"/>
    <w:rsid w:val="004F31AA"/>
    <w:rsid w:val="004F5BB7"/>
    <w:rsid w:val="004F74F8"/>
    <w:rsid w:val="00503B82"/>
    <w:rsid w:val="00521701"/>
    <w:rsid w:val="00524BF9"/>
    <w:rsid w:val="0053554C"/>
    <w:rsid w:val="005432D7"/>
    <w:rsid w:val="00544928"/>
    <w:rsid w:val="005458E9"/>
    <w:rsid w:val="005512BD"/>
    <w:rsid w:val="00552D36"/>
    <w:rsid w:val="00552E3C"/>
    <w:rsid w:val="00554163"/>
    <w:rsid w:val="00555716"/>
    <w:rsid w:val="00556197"/>
    <w:rsid w:val="00562298"/>
    <w:rsid w:val="00564BF4"/>
    <w:rsid w:val="00566093"/>
    <w:rsid w:val="00566FD8"/>
    <w:rsid w:val="005729B2"/>
    <w:rsid w:val="00586CA6"/>
    <w:rsid w:val="005A410B"/>
    <w:rsid w:val="005A559D"/>
    <w:rsid w:val="005B44A6"/>
    <w:rsid w:val="005B5DB2"/>
    <w:rsid w:val="005B6EFC"/>
    <w:rsid w:val="005C029C"/>
    <w:rsid w:val="005D404F"/>
    <w:rsid w:val="005D4703"/>
    <w:rsid w:val="005D6B85"/>
    <w:rsid w:val="005E2958"/>
    <w:rsid w:val="005E3074"/>
    <w:rsid w:val="005F06EA"/>
    <w:rsid w:val="005F3A91"/>
    <w:rsid w:val="006037B2"/>
    <w:rsid w:val="006047D1"/>
    <w:rsid w:val="0060712E"/>
    <w:rsid w:val="0060795F"/>
    <w:rsid w:val="00614029"/>
    <w:rsid w:val="00614E06"/>
    <w:rsid w:val="00615DAA"/>
    <w:rsid w:val="006224A4"/>
    <w:rsid w:val="006319DD"/>
    <w:rsid w:val="00634547"/>
    <w:rsid w:val="00636DEF"/>
    <w:rsid w:val="00637031"/>
    <w:rsid w:val="0064452D"/>
    <w:rsid w:val="00645B80"/>
    <w:rsid w:val="006467BE"/>
    <w:rsid w:val="006505C7"/>
    <w:rsid w:val="0065720B"/>
    <w:rsid w:val="0066427F"/>
    <w:rsid w:val="00666248"/>
    <w:rsid w:val="00672D22"/>
    <w:rsid w:val="00674EED"/>
    <w:rsid w:val="00681364"/>
    <w:rsid w:val="006863FB"/>
    <w:rsid w:val="00693612"/>
    <w:rsid w:val="00696862"/>
    <w:rsid w:val="006A132F"/>
    <w:rsid w:val="006A2492"/>
    <w:rsid w:val="006B5A4F"/>
    <w:rsid w:val="006C483F"/>
    <w:rsid w:val="006D231E"/>
    <w:rsid w:val="006D462E"/>
    <w:rsid w:val="006E1A46"/>
    <w:rsid w:val="006E5800"/>
    <w:rsid w:val="006E7CE9"/>
    <w:rsid w:val="006F21E8"/>
    <w:rsid w:val="006F62EB"/>
    <w:rsid w:val="006F6E73"/>
    <w:rsid w:val="006F7437"/>
    <w:rsid w:val="00701605"/>
    <w:rsid w:val="00701872"/>
    <w:rsid w:val="00704FD3"/>
    <w:rsid w:val="00706CCA"/>
    <w:rsid w:val="00711C6D"/>
    <w:rsid w:val="0071389D"/>
    <w:rsid w:val="007143A5"/>
    <w:rsid w:val="00715048"/>
    <w:rsid w:val="007252FE"/>
    <w:rsid w:val="00733E42"/>
    <w:rsid w:val="00740A7D"/>
    <w:rsid w:val="00750202"/>
    <w:rsid w:val="007506BB"/>
    <w:rsid w:val="00750B46"/>
    <w:rsid w:val="007566A1"/>
    <w:rsid w:val="0075678D"/>
    <w:rsid w:val="00763138"/>
    <w:rsid w:val="007729B9"/>
    <w:rsid w:val="0077550C"/>
    <w:rsid w:val="007764A1"/>
    <w:rsid w:val="00782358"/>
    <w:rsid w:val="00782698"/>
    <w:rsid w:val="00786AED"/>
    <w:rsid w:val="00787A4D"/>
    <w:rsid w:val="0079260B"/>
    <w:rsid w:val="007B4E6B"/>
    <w:rsid w:val="007B7D9D"/>
    <w:rsid w:val="007C00C5"/>
    <w:rsid w:val="007C4EF1"/>
    <w:rsid w:val="007D2B3D"/>
    <w:rsid w:val="007D36AA"/>
    <w:rsid w:val="007D5B92"/>
    <w:rsid w:val="007E2D66"/>
    <w:rsid w:val="007E3ACC"/>
    <w:rsid w:val="007E49DA"/>
    <w:rsid w:val="007E768E"/>
    <w:rsid w:val="007F17AA"/>
    <w:rsid w:val="007F22C2"/>
    <w:rsid w:val="007F6361"/>
    <w:rsid w:val="007F7F12"/>
    <w:rsid w:val="0080616C"/>
    <w:rsid w:val="00807757"/>
    <w:rsid w:val="00811002"/>
    <w:rsid w:val="00821B36"/>
    <w:rsid w:val="0082740E"/>
    <w:rsid w:val="008503B5"/>
    <w:rsid w:val="008549A7"/>
    <w:rsid w:val="00857D9C"/>
    <w:rsid w:val="00860A51"/>
    <w:rsid w:val="00861B86"/>
    <w:rsid w:val="0086263D"/>
    <w:rsid w:val="00866F7D"/>
    <w:rsid w:val="0088517E"/>
    <w:rsid w:val="008852AF"/>
    <w:rsid w:val="00887F72"/>
    <w:rsid w:val="008925F2"/>
    <w:rsid w:val="00893519"/>
    <w:rsid w:val="008951E4"/>
    <w:rsid w:val="00895B09"/>
    <w:rsid w:val="008A679E"/>
    <w:rsid w:val="008B73BA"/>
    <w:rsid w:val="008B7D96"/>
    <w:rsid w:val="008C0600"/>
    <w:rsid w:val="008C5F28"/>
    <w:rsid w:val="008D114B"/>
    <w:rsid w:val="008D7B56"/>
    <w:rsid w:val="008E4E7F"/>
    <w:rsid w:val="008E6700"/>
    <w:rsid w:val="008F14E4"/>
    <w:rsid w:val="008F16D2"/>
    <w:rsid w:val="0090016D"/>
    <w:rsid w:val="00900BFB"/>
    <w:rsid w:val="0090107C"/>
    <w:rsid w:val="00910830"/>
    <w:rsid w:val="00911B12"/>
    <w:rsid w:val="009139B5"/>
    <w:rsid w:val="009142DC"/>
    <w:rsid w:val="00917AAB"/>
    <w:rsid w:val="009237B0"/>
    <w:rsid w:val="00936613"/>
    <w:rsid w:val="0094006B"/>
    <w:rsid w:val="00950AB1"/>
    <w:rsid w:val="0095140B"/>
    <w:rsid w:val="00965E84"/>
    <w:rsid w:val="00966F3C"/>
    <w:rsid w:val="009676C7"/>
    <w:rsid w:val="009711B7"/>
    <w:rsid w:val="00971215"/>
    <w:rsid w:val="00981D7A"/>
    <w:rsid w:val="009822B4"/>
    <w:rsid w:val="009862F5"/>
    <w:rsid w:val="00986D66"/>
    <w:rsid w:val="0099611B"/>
    <w:rsid w:val="009A086D"/>
    <w:rsid w:val="009A48FF"/>
    <w:rsid w:val="009B0280"/>
    <w:rsid w:val="009B24FF"/>
    <w:rsid w:val="009B4775"/>
    <w:rsid w:val="009B64D9"/>
    <w:rsid w:val="009B7444"/>
    <w:rsid w:val="009C4DFD"/>
    <w:rsid w:val="009C77AF"/>
    <w:rsid w:val="009D1568"/>
    <w:rsid w:val="009D2967"/>
    <w:rsid w:val="009D4140"/>
    <w:rsid w:val="009D6B52"/>
    <w:rsid w:val="009E0E25"/>
    <w:rsid w:val="009E0EBD"/>
    <w:rsid w:val="009E26F5"/>
    <w:rsid w:val="009F10DF"/>
    <w:rsid w:val="009F163B"/>
    <w:rsid w:val="009F329A"/>
    <w:rsid w:val="009F3425"/>
    <w:rsid w:val="009F478E"/>
    <w:rsid w:val="00A07DB1"/>
    <w:rsid w:val="00A14113"/>
    <w:rsid w:val="00A25997"/>
    <w:rsid w:val="00A35ACC"/>
    <w:rsid w:val="00A37E15"/>
    <w:rsid w:val="00A4053F"/>
    <w:rsid w:val="00A409C9"/>
    <w:rsid w:val="00A40A87"/>
    <w:rsid w:val="00A43521"/>
    <w:rsid w:val="00A46651"/>
    <w:rsid w:val="00A469AA"/>
    <w:rsid w:val="00A4748A"/>
    <w:rsid w:val="00A57E4C"/>
    <w:rsid w:val="00A60A4F"/>
    <w:rsid w:val="00A75258"/>
    <w:rsid w:val="00A81DC5"/>
    <w:rsid w:val="00A84A45"/>
    <w:rsid w:val="00A864BD"/>
    <w:rsid w:val="00A949CA"/>
    <w:rsid w:val="00AA5688"/>
    <w:rsid w:val="00AA7640"/>
    <w:rsid w:val="00AA7B59"/>
    <w:rsid w:val="00AC6972"/>
    <w:rsid w:val="00AD241D"/>
    <w:rsid w:val="00AD378B"/>
    <w:rsid w:val="00AD625E"/>
    <w:rsid w:val="00AE0C0D"/>
    <w:rsid w:val="00AE1070"/>
    <w:rsid w:val="00AE1E7F"/>
    <w:rsid w:val="00AF7A06"/>
    <w:rsid w:val="00B071A1"/>
    <w:rsid w:val="00B12615"/>
    <w:rsid w:val="00B13B34"/>
    <w:rsid w:val="00B15D21"/>
    <w:rsid w:val="00B21CAA"/>
    <w:rsid w:val="00B27E6C"/>
    <w:rsid w:val="00B326FC"/>
    <w:rsid w:val="00B430E4"/>
    <w:rsid w:val="00B45071"/>
    <w:rsid w:val="00B60F6C"/>
    <w:rsid w:val="00B61196"/>
    <w:rsid w:val="00B628CC"/>
    <w:rsid w:val="00B668D1"/>
    <w:rsid w:val="00B719A7"/>
    <w:rsid w:val="00B7743F"/>
    <w:rsid w:val="00B839E9"/>
    <w:rsid w:val="00B906AC"/>
    <w:rsid w:val="00B92B4B"/>
    <w:rsid w:val="00B9476C"/>
    <w:rsid w:val="00B96858"/>
    <w:rsid w:val="00B97983"/>
    <w:rsid w:val="00BA503D"/>
    <w:rsid w:val="00BA60F0"/>
    <w:rsid w:val="00BA7837"/>
    <w:rsid w:val="00BB748B"/>
    <w:rsid w:val="00BC0657"/>
    <w:rsid w:val="00BC2849"/>
    <w:rsid w:val="00BD5BDC"/>
    <w:rsid w:val="00BE5A0C"/>
    <w:rsid w:val="00BF25EB"/>
    <w:rsid w:val="00C14172"/>
    <w:rsid w:val="00C14E36"/>
    <w:rsid w:val="00C15888"/>
    <w:rsid w:val="00C20A46"/>
    <w:rsid w:val="00C2734A"/>
    <w:rsid w:val="00C3089E"/>
    <w:rsid w:val="00C30DA6"/>
    <w:rsid w:val="00C30E57"/>
    <w:rsid w:val="00C34D2D"/>
    <w:rsid w:val="00C36F93"/>
    <w:rsid w:val="00C4201E"/>
    <w:rsid w:val="00C5120F"/>
    <w:rsid w:val="00C53185"/>
    <w:rsid w:val="00C55055"/>
    <w:rsid w:val="00C5564D"/>
    <w:rsid w:val="00C62184"/>
    <w:rsid w:val="00C71300"/>
    <w:rsid w:val="00C733C1"/>
    <w:rsid w:val="00C76775"/>
    <w:rsid w:val="00C863E0"/>
    <w:rsid w:val="00C93E1B"/>
    <w:rsid w:val="00C9455F"/>
    <w:rsid w:val="00C950EE"/>
    <w:rsid w:val="00CA53E6"/>
    <w:rsid w:val="00CB1F08"/>
    <w:rsid w:val="00CB7400"/>
    <w:rsid w:val="00CC0A02"/>
    <w:rsid w:val="00CC2715"/>
    <w:rsid w:val="00CC3F49"/>
    <w:rsid w:val="00CC753D"/>
    <w:rsid w:val="00CF6791"/>
    <w:rsid w:val="00D029ED"/>
    <w:rsid w:val="00D06723"/>
    <w:rsid w:val="00D10226"/>
    <w:rsid w:val="00D1306F"/>
    <w:rsid w:val="00D1555D"/>
    <w:rsid w:val="00D16202"/>
    <w:rsid w:val="00D23993"/>
    <w:rsid w:val="00D27846"/>
    <w:rsid w:val="00D33DBC"/>
    <w:rsid w:val="00D40BA3"/>
    <w:rsid w:val="00D50D53"/>
    <w:rsid w:val="00D61DC1"/>
    <w:rsid w:val="00D718E0"/>
    <w:rsid w:val="00D72FD4"/>
    <w:rsid w:val="00D82CDE"/>
    <w:rsid w:val="00D83969"/>
    <w:rsid w:val="00D871D3"/>
    <w:rsid w:val="00D91766"/>
    <w:rsid w:val="00DA15AC"/>
    <w:rsid w:val="00DA281F"/>
    <w:rsid w:val="00DA31C3"/>
    <w:rsid w:val="00DA5F6F"/>
    <w:rsid w:val="00DB1CDF"/>
    <w:rsid w:val="00DC0619"/>
    <w:rsid w:val="00DC322A"/>
    <w:rsid w:val="00DC4CDC"/>
    <w:rsid w:val="00DC6685"/>
    <w:rsid w:val="00DD1F4F"/>
    <w:rsid w:val="00DD4237"/>
    <w:rsid w:val="00DD66F6"/>
    <w:rsid w:val="00DE08B5"/>
    <w:rsid w:val="00DE1262"/>
    <w:rsid w:val="00DE2CD8"/>
    <w:rsid w:val="00DE5DC7"/>
    <w:rsid w:val="00DE6423"/>
    <w:rsid w:val="00DE7611"/>
    <w:rsid w:val="00DF01F6"/>
    <w:rsid w:val="00DF1DCF"/>
    <w:rsid w:val="00DF37F6"/>
    <w:rsid w:val="00DF57C1"/>
    <w:rsid w:val="00DF5A53"/>
    <w:rsid w:val="00DF6E2C"/>
    <w:rsid w:val="00E018DC"/>
    <w:rsid w:val="00E0265A"/>
    <w:rsid w:val="00E06EC9"/>
    <w:rsid w:val="00E141C9"/>
    <w:rsid w:val="00E142D3"/>
    <w:rsid w:val="00E21493"/>
    <w:rsid w:val="00E24610"/>
    <w:rsid w:val="00E26E9B"/>
    <w:rsid w:val="00E3772D"/>
    <w:rsid w:val="00E427D9"/>
    <w:rsid w:val="00E43D39"/>
    <w:rsid w:val="00E66EE8"/>
    <w:rsid w:val="00E74B43"/>
    <w:rsid w:val="00E81453"/>
    <w:rsid w:val="00E83B98"/>
    <w:rsid w:val="00E8550F"/>
    <w:rsid w:val="00E934D3"/>
    <w:rsid w:val="00EA14A4"/>
    <w:rsid w:val="00EA18BA"/>
    <w:rsid w:val="00EB369E"/>
    <w:rsid w:val="00EB75F0"/>
    <w:rsid w:val="00EC05B6"/>
    <w:rsid w:val="00EC584D"/>
    <w:rsid w:val="00EC69AD"/>
    <w:rsid w:val="00EC7674"/>
    <w:rsid w:val="00ED1D43"/>
    <w:rsid w:val="00ED2482"/>
    <w:rsid w:val="00ED367F"/>
    <w:rsid w:val="00ED3E00"/>
    <w:rsid w:val="00ED62E3"/>
    <w:rsid w:val="00ED75D0"/>
    <w:rsid w:val="00ED7F06"/>
    <w:rsid w:val="00EE1F9E"/>
    <w:rsid w:val="00EE1FDE"/>
    <w:rsid w:val="00EE46A4"/>
    <w:rsid w:val="00EE6006"/>
    <w:rsid w:val="00EF0872"/>
    <w:rsid w:val="00EF4D93"/>
    <w:rsid w:val="00F049F5"/>
    <w:rsid w:val="00F07305"/>
    <w:rsid w:val="00F115EA"/>
    <w:rsid w:val="00F139E3"/>
    <w:rsid w:val="00F15551"/>
    <w:rsid w:val="00F17156"/>
    <w:rsid w:val="00F17456"/>
    <w:rsid w:val="00F223CF"/>
    <w:rsid w:val="00F25D88"/>
    <w:rsid w:val="00F2614F"/>
    <w:rsid w:val="00F428C8"/>
    <w:rsid w:val="00F46A0E"/>
    <w:rsid w:val="00F5467C"/>
    <w:rsid w:val="00F56950"/>
    <w:rsid w:val="00F57379"/>
    <w:rsid w:val="00F60824"/>
    <w:rsid w:val="00F668E6"/>
    <w:rsid w:val="00F66E1E"/>
    <w:rsid w:val="00F73F65"/>
    <w:rsid w:val="00F7529B"/>
    <w:rsid w:val="00F7590B"/>
    <w:rsid w:val="00F77326"/>
    <w:rsid w:val="00F8118C"/>
    <w:rsid w:val="00F9439A"/>
    <w:rsid w:val="00F946FA"/>
    <w:rsid w:val="00F97420"/>
    <w:rsid w:val="00FA1274"/>
    <w:rsid w:val="00FB0CE2"/>
    <w:rsid w:val="00FB0F7A"/>
    <w:rsid w:val="00FB22F8"/>
    <w:rsid w:val="00FB534A"/>
    <w:rsid w:val="00FB6772"/>
    <w:rsid w:val="00FC76BE"/>
    <w:rsid w:val="00FD3BBF"/>
    <w:rsid w:val="00FD47B6"/>
    <w:rsid w:val="00FF70B7"/>
    <w:rsid w:val="019E354B"/>
    <w:rsid w:val="0C464121"/>
    <w:rsid w:val="12B922D2"/>
    <w:rsid w:val="13FA41EA"/>
    <w:rsid w:val="15144DFF"/>
    <w:rsid w:val="182E6B59"/>
    <w:rsid w:val="18F87F15"/>
    <w:rsid w:val="190A5148"/>
    <w:rsid w:val="1959374C"/>
    <w:rsid w:val="24A24B56"/>
    <w:rsid w:val="26153106"/>
    <w:rsid w:val="29F32BF1"/>
    <w:rsid w:val="2C5632CC"/>
    <w:rsid w:val="2D485B6F"/>
    <w:rsid w:val="2DE97352"/>
    <w:rsid w:val="2E29714F"/>
    <w:rsid w:val="36921249"/>
    <w:rsid w:val="38482EC7"/>
    <w:rsid w:val="3CD92C87"/>
    <w:rsid w:val="420204DA"/>
    <w:rsid w:val="424D7A53"/>
    <w:rsid w:val="431018E9"/>
    <w:rsid w:val="45EE3A16"/>
    <w:rsid w:val="4CBD57DA"/>
    <w:rsid w:val="57016C0B"/>
    <w:rsid w:val="57A33B15"/>
    <w:rsid w:val="5DEB5F1F"/>
    <w:rsid w:val="62724E61"/>
    <w:rsid w:val="664A74FB"/>
    <w:rsid w:val="68B96458"/>
    <w:rsid w:val="69D812A3"/>
    <w:rsid w:val="6B165F8F"/>
    <w:rsid w:val="6F8F7052"/>
    <w:rsid w:val="72200435"/>
    <w:rsid w:val="74F84755"/>
    <w:rsid w:val="76AE5AA7"/>
    <w:rsid w:val="7EE97726"/>
    <w:rsid w:val="7EFC5D86"/>
    <w:rsid w:val="7FFC0ED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Plain Text"/>
    <w:basedOn w:val="1"/>
    <w:link w:val="23"/>
    <w:qFormat/>
    <w:uiPriority w:val="0"/>
    <w:rPr>
      <w:rFonts w:ascii="宋体" w:hAnsi="Courier New" w:eastAsia="宋体" w:cs="Times New Roman"/>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link w:val="25"/>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2 Char"/>
    <w:basedOn w:val="12"/>
    <w:link w:val="2"/>
    <w:qFormat/>
    <w:uiPriority w:val="9"/>
    <w:rPr>
      <w:rFonts w:ascii="宋体" w:hAnsi="宋体" w:eastAsia="宋体" w:cs="宋体"/>
      <w:b/>
      <w:bCs/>
      <w:kern w:val="0"/>
      <w:sz w:val="36"/>
      <w:szCs w:val="36"/>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批注框文本 Char"/>
    <w:basedOn w:val="12"/>
    <w:link w:val="5"/>
    <w:semiHidden/>
    <w:qFormat/>
    <w:uiPriority w:val="99"/>
    <w:rPr>
      <w:sz w:val="18"/>
      <w:szCs w:val="18"/>
    </w:rPr>
  </w:style>
  <w:style w:type="paragraph" w:styleId="18">
    <w:name w:val="List Paragraph"/>
    <w:basedOn w:val="1"/>
    <w:qFormat/>
    <w:uiPriority w:val="34"/>
    <w:pPr>
      <w:ind w:firstLine="420" w:firstLineChars="200"/>
    </w:p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表格文字"/>
    <w:basedOn w:val="1"/>
    <w:qFormat/>
    <w:uiPriority w:val="0"/>
    <w:rPr>
      <w:szCs w:val="24"/>
    </w:rPr>
  </w:style>
  <w:style w:type="paragraph" w:customStyle="1" w:styleId="21">
    <w:name w:val="Table Text"/>
    <w:basedOn w:val="1"/>
    <w:semiHidden/>
    <w:qFormat/>
    <w:uiPriority w:val="0"/>
    <w:rPr>
      <w:rFonts w:ascii="楷体" w:hAnsi="楷体" w:eastAsia="楷体" w:cs="楷体"/>
      <w:sz w:val="24"/>
      <w:szCs w:val="24"/>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纯文本 Char"/>
    <w:basedOn w:val="12"/>
    <w:link w:val="4"/>
    <w:qFormat/>
    <w:uiPriority w:val="0"/>
    <w:rPr>
      <w:rFonts w:ascii="宋体" w:hAnsi="Courier New" w:eastAsia="宋体" w:cs="Times New Roman"/>
      <w:kern w:val="2"/>
      <w:sz w:val="21"/>
      <w:szCs w:val="21"/>
    </w:rPr>
  </w:style>
  <w:style w:type="character" w:customStyle="1" w:styleId="24">
    <w:name w:val="批注文字 Char"/>
    <w:basedOn w:val="12"/>
    <w:link w:val="3"/>
    <w:semiHidden/>
    <w:qFormat/>
    <w:uiPriority w:val="99"/>
    <w:rPr>
      <w:kern w:val="2"/>
      <w:sz w:val="21"/>
      <w:szCs w:val="22"/>
    </w:rPr>
  </w:style>
  <w:style w:type="character" w:customStyle="1" w:styleId="25">
    <w:name w:val="批注主题 Char"/>
    <w:basedOn w:val="24"/>
    <w:link w:val="9"/>
    <w:semiHidden/>
    <w:qFormat/>
    <w:uiPriority w:val="99"/>
    <w:rPr>
      <w:b/>
      <w:bCs/>
    </w:rPr>
  </w:style>
  <w:style w:type="paragraph" w:customStyle="1" w:styleId="26">
    <w:name w:val="列出段落1"/>
    <w:basedOn w:val="1"/>
    <w:qFormat/>
    <w:uiPriority w:val="34"/>
    <w:pPr>
      <w:adjustRightInd w:val="0"/>
      <w:snapToGrid w:val="0"/>
      <w:spacing w:line="360" w:lineRule="auto"/>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634</Words>
  <Characters>703</Characters>
  <Lines>16</Lines>
  <Paragraphs>4</Paragraphs>
  <TotalTime>24</TotalTime>
  <ScaleCrop>false</ScaleCrop>
  <LinksUpToDate>false</LinksUpToDate>
  <CharactersWithSpaces>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2021-11-03T01:57:00Z</dcterms:created>
  <dc:creator>微软用户</dc:creator>
  <cp:lastModifiedBy>臭饼臭饼臭饼</cp:lastModifiedBy>
  <dcterms:modified xsi:type="dcterms:W3CDTF">2025-11-20T02:21:51Z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CEB7516ED25141CE87BD2AF467A7C4AE_13</vt:lpwstr>
  </property>
  <property fmtid="{D5CDD505-2E9C-101B-9397-08002B2CF9AE}" pid="4" name="KSOTemplateDocerSaveRecord">
    <vt:lpwstr>eyJoZGlkIjoiM2VkYTc1ZjE2ZTg4M2YxODRhZjg5NTlkMzcxOGMwNTAiLCJ1c2VySWQiOiI0MDQ3ODExMjMifQ==</vt:lpwstr>
  </property>
</Properties>
</file>